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DAF12D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734884">
        <w:rPr>
          <w:rFonts w:ascii="Arial" w:hAnsi="Arial" w:cs="Arial"/>
          <w:b/>
          <w:bCs/>
          <w:sz w:val="28"/>
          <w:lang w:eastAsia="zh-CN"/>
        </w:rPr>
        <w:t>878</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F70F08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734884">
        <w:rPr>
          <w:b/>
          <w:kern w:val="2"/>
          <w:sz w:val="24"/>
          <w:lang w:eastAsia="zh-CN"/>
        </w:rPr>
        <w:t>8</w:t>
      </w:r>
      <w:r w:rsidR="00DB5933" w:rsidRPr="00734884">
        <w:rPr>
          <w:b/>
          <w:kern w:val="2"/>
          <w:sz w:val="24"/>
          <w:lang w:eastAsia="zh-CN"/>
        </w:rPr>
        <w:t>.</w:t>
      </w:r>
      <w:r w:rsidR="00760196" w:rsidRPr="00734884">
        <w:rPr>
          <w:b/>
          <w:kern w:val="2"/>
          <w:sz w:val="24"/>
          <w:lang w:eastAsia="zh-CN"/>
        </w:rPr>
        <w:t>15.</w:t>
      </w:r>
      <w:r w:rsidR="00734884" w:rsidRPr="00734884">
        <w:rPr>
          <w:b/>
          <w:kern w:val="2"/>
          <w:sz w:val="24"/>
          <w:lang w:eastAsia="zh-CN"/>
        </w:rPr>
        <w:t>5</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B9D12D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34884">
        <w:rPr>
          <w:b/>
          <w:kern w:val="2"/>
          <w:sz w:val="24"/>
          <w:lang w:eastAsia="zh-CN"/>
        </w:rPr>
        <w:t>Power consumption of</w:t>
      </w:r>
      <w:r w:rsidR="0022105B">
        <w:rPr>
          <w:b/>
          <w:kern w:val="2"/>
          <w:sz w:val="24"/>
          <w:lang w:eastAsia="zh-CN"/>
        </w:rPr>
        <w:t xml:space="preserve">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2F0C02FC" w14:textId="6D8D402D" w:rsidR="002E02CA" w:rsidRDefault="002E02CA" w:rsidP="002E02CA">
      <w:pPr>
        <w:rPr>
          <w:lang w:eastAsia="zh-CN"/>
        </w:rPr>
      </w:pPr>
      <w:r>
        <w:rPr>
          <w:lang w:eastAsia="zh-CN"/>
        </w:rPr>
        <w:t xml:space="preserve">In RANP#86, a study item on support of NB-IoT and </w:t>
      </w:r>
      <w:proofErr w:type="spellStart"/>
      <w:r>
        <w:rPr>
          <w:lang w:eastAsia="zh-CN"/>
        </w:rPr>
        <w:t>eMTC</w:t>
      </w:r>
      <w:proofErr w:type="spellEnd"/>
      <w:r>
        <w:rPr>
          <w:lang w:eastAsia="zh-CN"/>
        </w:rPr>
        <w:t xml:space="preserve"> over NTN was approved [</w:t>
      </w:r>
      <w:r>
        <w:rPr>
          <w:lang w:eastAsia="zh-CN"/>
        </w:rPr>
        <w:fldChar w:fldCharType="begin"/>
      </w:r>
      <w:r>
        <w:rPr>
          <w:lang w:eastAsia="zh-CN"/>
        </w:rPr>
        <w:instrText xml:space="preserve"> REF _Ref54129494 \w \h </w:instrText>
      </w:r>
      <w:r>
        <w:rPr>
          <w:lang w:eastAsia="zh-CN"/>
        </w:rPr>
      </w:r>
      <w:r>
        <w:rPr>
          <w:lang w:eastAsia="zh-CN"/>
        </w:rPr>
        <w:fldChar w:fldCharType="separate"/>
      </w:r>
      <w:r w:rsidR="00A911A1">
        <w:rPr>
          <w:lang w:eastAsia="zh-CN"/>
        </w:rPr>
        <w:t>1</w:t>
      </w:r>
      <w:r>
        <w:rPr>
          <w:lang w:eastAsia="zh-CN"/>
        </w:rPr>
        <w:fldChar w:fldCharType="end"/>
      </w:r>
      <w:r>
        <w:rPr>
          <w:lang w:eastAsia="zh-CN"/>
        </w:rPr>
        <w:t xml:space="preserve">], with the following objectives related to necessary specification changes for NB-IoT and </w:t>
      </w:r>
      <w:proofErr w:type="spellStart"/>
      <w:r>
        <w:rPr>
          <w:lang w:eastAsia="zh-CN"/>
        </w:rPr>
        <w:t>eMTC</w:t>
      </w:r>
      <w:proofErr w:type="spellEnd"/>
      <w:r>
        <w:rPr>
          <w:lang w:eastAsia="zh-CN"/>
        </w:rPr>
        <w:t>:</w:t>
      </w:r>
    </w:p>
    <w:p w14:paraId="7ADB4088" w14:textId="77777777" w:rsidR="002E02CA" w:rsidRPr="00760196" w:rsidRDefault="002E02CA" w:rsidP="002E02CA">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48478A15" w14:textId="77777777" w:rsidR="002E02CA" w:rsidRPr="00182527" w:rsidRDefault="002E02CA" w:rsidP="002E02CA">
      <w:pPr>
        <w:rPr>
          <w:color w:val="0070C0"/>
        </w:rPr>
      </w:pPr>
      <w:r w:rsidRPr="00182527">
        <w:rPr>
          <w:color w:val="0070C0"/>
        </w:rPr>
        <w:t xml:space="preserve">The second objective is, for the above identified scenarios, to study and recommend necessary changes to support NB-IoT and </w:t>
      </w:r>
      <w:proofErr w:type="spellStart"/>
      <w:r w:rsidRPr="00182527">
        <w:rPr>
          <w:color w:val="0070C0"/>
        </w:rPr>
        <w:t>eMTC</w:t>
      </w:r>
      <w:proofErr w:type="spellEnd"/>
      <w:r w:rsidRPr="00182527">
        <w:rPr>
          <w:color w:val="0070C0"/>
        </w:rPr>
        <w:t xml:space="preserve"> over satellite, reusing as much as possible the conclusions of the studies performed for NR NTN in TR38.821. This objective will address the following items: </w:t>
      </w:r>
    </w:p>
    <w:p w14:paraId="7B891806" w14:textId="77777777" w:rsidR="002E02CA" w:rsidRPr="00182527" w:rsidRDefault="002E02CA" w:rsidP="002E02CA">
      <w:pPr>
        <w:pStyle w:val="B1"/>
        <w:rPr>
          <w:color w:val="0070C0"/>
        </w:rPr>
      </w:pPr>
      <w:r w:rsidRPr="00182527">
        <w:rPr>
          <w:color w:val="0070C0"/>
        </w:rPr>
        <w:t>-</w:t>
      </w:r>
      <w:r w:rsidRPr="00182527">
        <w:rPr>
          <w:color w:val="0070C0"/>
        </w:rPr>
        <w:tab/>
        <w:t>Aspects related to random access procedure/signals [RAN1, RAN2]</w:t>
      </w:r>
    </w:p>
    <w:p w14:paraId="556B9A8F" w14:textId="77777777" w:rsidR="002E02CA" w:rsidRPr="00182527" w:rsidRDefault="002E02CA" w:rsidP="002E02CA">
      <w:pPr>
        <w:pStyle w:val="B1"/>
        <w:rPr>
          <w:color w:val="0070C0"/>
        </w:rPr>
      </w:pPr>
      <w:r w:rsidRPr="00182527">
        <w:rPr>
          <w:color w:val="0070C0"/>
        </w:rPr>
        <w:t>-</w:t>
      </w:r>
      <w:r w:rsidRPr="00182527">
        <w:rPr>
          <w:color w:val="0070C0"/>
        </w:rPr>
        <w:tab/>
        <w:t>Mechanisms for time/frequency adjustment including Timing Advance, and UL frequency compensation indication [RAN1, RAN2]</w:t>
      </w:r>
    </w:p>
    <w:p w14:paraId="1C154DDF" w14:textId="77777777" w:rsidR="002E02CA" w:rsidRPr="00182527" w:rsidRDefault="002E02CA" w:rsidP="002E02CA">
      <w:pPr>
        <w:pStyle w:val="B1"/>
        <w:rPr>
          <w:color w:val="0070C0"/>
        </w:rPr>
      </w:pPr>
      <w:r w:rsidRPr="00182527">
        <w:rPr>
          <w:color w:val="0070C0"/>
        </w:rPr>
        <w:t>-</w:t>
      </w:r>
      <w:r w:rsidRPr="00182527">
        <w:rPr>
          <w:color w:val="0070C0"/>
        </w:rPr>
        <w:tab/>
        <w:t>Timing offset related to scheduling and HARQ-ACK feedback [RAN1, RAN2]</w:t>
      </w:r>
    </w:p>
    <w:p w14:paraId="78592964" w14:textId="77777777" w:rsidR="002E02CA" w:rsidRPr="00182527" w:rsidRDefault="002E02CA" w:rsidP="002E02CA">
      <w:pPr>
        <w:pStyle w:val="B1"/>
        <w:rPr>
          <w:color w:val="0070C0"/>
        </w:rPr>
      </w:pPr>
      <w:r w:rsidRPr="00182527">
        <w:rPr>
          <w:color w:val="0070C0"/>
        </w:rPr>
        <w:t>-    Aspects related to HARQ operation [RAN2, RAN1]</w:t>
      </w:r>
    </w:p>
    <w:p w14:paraId="0F95E92D" w14:textId="77777777" w:rsidR="002E02CA" w:rsidRPr="00182527" w:rsidRDefault="002E02CA" w:rsidP="002E02CA">
      <w:pPr>
        <w:pStyle w:val="B1"/>
        <w:rPr>
          <w:color w:val="0070C0"/>
        </w:rPr>
      </w:pPr>
      <w:r w:rsidRPr="00182527">
        <w:rPr>
          <w:color w:val="0070C0"/>
        </w:rPr>
        <w:t>-</w:t>
      </w:r>
      <w:r w:rsidRPr="00182527">
        <w:rPr>
          <w:color w:val="0070C0"/>
        </w:rPr>
        <w:tab/>
        <w:t>General aspects related to timers (e.g. SR, DRX, etc.) [RAN2]</w:t>
      </w:r>
    </w:p>
    <w:p w14:paraId="051F22F7" w14:textId="77777777" w:rsidR="002E02CA" w:rsidRPr="00182527" w:rsidRDefault="002E02CA" w:rsidP="002E02CA">
      <w:pPr>
        <w:pStyle w:val="B1"/>
        <w:rPr>
          <w:color w:val="0070C0"/>
        </w:rPr>
      </w:pPr>
      <w:r w:rsidRPr="00182527">
        <w:rPr>
          <w:color w:val="0070C0"/>
        </w:rPr>
        <w:t>-</w:t>
      </w:r>
      <w:r w:rsidRPr="00182527">
        <w:rPr>
          <w:color w:val="0070C0"/>
        </w:rPr>
        <w:tab/>
        <w:t>RAN2 aspects related to idle mode and connected mode mobility [RAN2]</w:t>
      </w:r>
    </w:p>
    <w:p w14:paraId="168D1960" w14:textId="77777777" w:rsidR="002E02CA" w:rsidRPr="00182527" w:rsidRDefault="002E02CA" w:rsidP="002E02CA">
      <w:pPr>
        <w:pStyle w:val="B2"/>
        <w:rPr>
          <w:color w:val="0070C0"/>
        </w:rPr>
      </w:pPr>
      <w:r w:rsidRPr="00182527">
        <w:rPr>
          <w:color w:val="0070C0"/>
        </w:rPr>
        <w:t>-</w:t>
      </w:r>
      <w:r w:rsidRPr="00182527">
        <w:rPr>
          <w:color w:val="0070C0"/>
        </w:rPr>
        <w:tab/>
        <w:t>RLF-based for NB-IoT</w:t>
      </w:r>
    </w:p>
    <w:p w14:paraId="3E1341D4" w14:textId="77777777" w:rsidR="002E02CA" w:rsidRPr="00182527" w:rsidRDefault="002E02CA" w:rsidP="002E02CA">
      <w:pPr>
        <w:pStyle w:val="B2"/>
        <w:rPr>
          <w:color w:val="0070C0"/>
        </w:rPr>
      </w:pPr>
      <w:r w:rsidRPr="00182527">
        <w:rPr>
          <w:color w:val="0070C0"/>
        </w:rPr>
        <w:t>-</w:t>
      </w:r>
      <w:r w:rsidRPr="00182527">
        <w:rPr>
          <w:color w:val="0070C0"/>
        </w:rPr>
        <w:tab/>
        <w:t xml:space="preserve">Handover-based for </w:t>
      </w:r>
      <w:proofErr w:type="spellStart"/>
      <w:r w:rsidRPr="00182527">
        <w:rPr>
          <w:color w:val="0070C0"/>
        </w:rPr>
        <w:t>eMTC</w:t>
      </w:r>
      <w:proofErr w:type="spellEnd"/>
    </w:p>
    <w:p w14:paraId="03D14693" w14:textId="77777777" w:rsidR="002E02CA" w:rsidRPr="00182527" w:rsidRDefault="002E02CA" w:rsidP="002E02CA">
      <w:pPr>
        <w:pStyle w:val="B1"/>
        <w:rPr>
          <w:color w:val="0070C0"/>
        </w:rPr>
      </w:pPr>
      <w:r w:rsidRPr="00182527">
        <w:rPr>
          <w:color w:val="0070C0"/>
        </w:rPr>
        <w:t>-</w:t>
      </w:r>
      <w:r w:rsidRPr="00182527">
        <w:rPr>
          <w:color w:val="0070C0"/>
        </w:rPr>
        <w:tab/>
        <w:t>System information enhancements [RAN2]</w:t>
      </w:r>
    </w:p>
    <w:p w14:paraId="0E8D1FBD" w14:textId="77777777" w:rsidR="002E02CA" w:rsidRPr="00182527" w:rsidRDefault="002E02CA" w:rsidP="002E02CA">
      <w:pPr>
        <w:pStyle w:val="B1"/>
        <w:rPr>
          <w:color w:val="0070C0"/>
        </w:rPr>
      </w:pPr>
      <w:r w:rsidRPr="00182527">
        <w:rPr>
          <w:color w:val="0070C0"/>
        </w:rPr>
        <w:t>-</w:t>
      </w:r>
      <w:r w:rsidRPr="00182527">
        <w:rPr>
          <w:color w:val="0070C0"/>
        </w:rPr>
        <w:tab/>
        <w:t>Tracking area enhancements [RAN2]</w:t>
      </w:r>
    </w:p>
    <w:p w14:paraId="57076130" w14:textId="77777777" w:rsidR="002E02CA" w:rsidRPr="00C04A93" w:rsidRDefault="002E02CA" w:rsidP="002E02CA">
      <w:pPr>
        <w:pStyle w:val="NO"/>
        <w:rPr>
          <w:color w:val="0070C0"/>
        </w:rPr>
      </w:pPr>
      <w:r w:rsidRPr="00C04A93">
        <w:rPr>
          <w:color w:val="0070C0"/>
        </w:rPr>
        <w:t xml:space="preserve">NOTE 3: </w:t>
      </w:r>
      <w:r w:rsidRPr="00C04A93">
        <w:rPr>
          <w:color w:val="0070C0"/>
        </w:rPr>
        <w:tab/>
        <w:t xml:space="preserve">GNSS capability in the UE is taken as a working assumption in this study for both NB-IoT and </w:t>
      </w:r>
      <w:proofErr w:type="spellStart"/>
      <w:r w:rsidRPr="00C04A93">
        <w:rPr>
          <w:color w:val="0070C0"/>
        </w:rPr>
        <w:t>eMTC</w:t>
      </w:r>
      <w:proofErr w:type="spellEnd"/>
      <w:r w:rsidRPr="00C04A93">
        <w:rPr>
          <w:color w:val="0070C0"/>
        </w:rPr>
        <w:t xml:space="preserve"> devices. With this assumption, UE can estimate and pre-compensate timing and frequency offset with </w:t>
      </w:r>
      <w:proofErr w:type="gramStart"/>
      <w:r w:rsidRPr="00C04A93">
        <w:rPr>
          <w:color w:val="0070C0"/>
        </w:rPr>
        <w:t>sufficient</w:t>
      </w:r>
      <w:proofErr w:type="gramEnd"/>
      <w:r w:rsidRPr="00C04A93">
        <w:rPr>
          <w:color w:val="0070C0"/>
        </w:rPr>
        <w:t xml:space="preserve"> accuracy for UL transmission. Simultaneous GNSS and NTN NB-IoT/</w:t>
      </w:r>
      <w:proofErr w:type="spellStart"/>
      <w:r w:rsidRPr="00C04A93">
        <w:rPr>
          <w:color w:val="0070C0"/>
        </w:rPr>
        <w:t>eMTC</w:t>
      </w:r>
      <w:proofErr w:type="spellEnd"/>
      <w:r w:rsidRPr="00C04A93">
        <w:rPr>
          <w:color w:val="0070C0"/>
        </w:rPr>
        <w:t xml:space="preserve"> operation is not assumed.</w:t>
      </w:r>
    </w:p>
    <w:p w14:paraId="16ED2117" w14:textId="3980B277" w:rsidR="00760196" w:rsidRDefault="00760196" w:rsidP="00D176D9">
      <w:pPr>
        <w:rPr>
          <w:lang w:val="en-GB" w:eastAsia="zh-CN"/>
        </w:rPr>
      </w:pPr>
    </w:p>
    <w:p w14:paraId="194B4631" w14:textId="66C1118F" w:rsidR="00760196" w:rsidRDefault="002E02CA" w:rsidP="00D176D9">
      <w:pPr>
        <w:rPr>
          <w:lang w:val="en-GB" w:eastAsia="zh-CN"/>
        </w:rPr>
      </w:pPr>
      <w:r>
        <w:rPr>
          <w:lang w:val="en-GB" w:eastAsia="zh-CN"/>
        </w:rPr>
        <w:t xml:space="preserve">One of the KPIs for NB-IoT and one of the targets for </w:t>
      </w:r>
      <w:proofErr w:type="spellStart"/>
      <w:r>
        <w:rPr>
          <w:lang w:val="en-GB" w:eastAsia="zh-CN"/>
        </w:rPr>
        <w:t>eMTC</w:t>
      </w:r>
      <w:proofErr w:type="spellEnd"/>
      <w:r>
        <w:rPr>
          <w:lang w:val="en-GB" w:eastAsia="zh-CN"/>
        </w:rPr>
        <w:t xml:space="preserve"> is to support a b</w:t>
      </w:r>
      <w:bookmarkStart w:id="1" w:name="_GoBack"/>
      <w:bookmarkEnd w:id="1"/>
      <w:r>
        <w:rPr>
          <w:lang w:val="en-GB" w:eastAsia="zh-CN"/>
        </w:rPr>
        <w:t xml:space="preserve">attery lifetime of 10 years with a 5 Watt-hour battery, assuming daily transmission of a 200 byte UL message </w:t>
      </w:r>
      <w:r>
        <w:rPr>
          <w:lang w:val="en-GB" w:eastAsia="zh-CN"/>
        </w:rPr>
        <w:fldChar w:fldCharType="begin"/>
      </w:r>
      <w:r>
        <w:rPr>
          <w:lang w:val="en-GB" w:eastAsia="zh-CN"/>
        </w:rPr>
        <w:instrText xml:space="preserve"> REF _Ref61920094 \r \h </w:instrText>
      </w:r>
      <w:r>
        <w:rPr>
          <w:lang w:val="en-GB" w:eastAsia="zh-CN"/>
        </w:rPr>
      </w:r>
      <w:r>
        <w:rPr>
          <w:lang w:val="en-GB" w:eastAsia="zh-CN"/>
        </w:rPr>
        <w:fldChar w:fldCharType="separate"/>
      </w:r>
      <w:r w:rsidR="00A911A1">
        <w:rPr>
          <w:lang w:val="en-GB" w:eastAsia="zh-CN"/>
        </w:rPr>
        <w:t>[4]</w:t>
      </w:r>
      <w:r>
        <w:rPr>
          <w:lang w:val="en-GB" w:eastAsia="zh-CN"/>
        </w:rPr>
        <w:fldChar w:fldCharType="end"/>
      </w:r>
      <w:r w:rsidR="00A51933">
        <w:rPr>
          <w:lang w:val="en-GB" w:eastAsia="zh-CN"/>
        </w:rPr>
        <w:t>.</w:t>
      </w:r>
      <w:r>
        <w:rPr>
          <w:lang w:val="en-GB" w:eastAsia="zh-CN"/>
        </w:rPr>
        <w:t xml:space="preserve"> An IoT-NTN device should also be able to support this battery lifetime.</w:t>
      </w:r>
    </w:p>
    <w:p w14:paraId="20703285" w14:textId="64FBEE82" w:rsidR="00A51933" w:rsidRDefault="002E02CA" w:rsidP="00D176D9">
      <w:pPr>
        <w:rPr>
          <w:lang w:val="en-GB" w:eastAsia="zh-CN"/>
        </w:rPr>
      </w:pPr>
      <w:r>
        <w:rPr>
          <w:lang w:val="en-GB" w:eastAsia="zh-CN"/>
        </w:rPr>
        <w:t>This document considers some of the issues in IoT-NTN that impact power consumption and battery lifetime.</w:t>
      </w:r>
    </w:p>
    <w:p w14:paraId="0DB80BA3" w14:textId="50F21F4E" w:rsidR="007778DA" w:rsidRDefault="007778DA" w:rsidP="00A51933">
      <w:pPr>
        <w:rPr>
          <w:bCs/>
        </w:rPr>
      </w:pPr>
    </w:p>
    <w:p w14:paraId="73A7CD06" w14:textId="07714948" w:rsidR="007778DA" w:rsidRDefault="007778DA" w:rsidP="00A51933">
      <w:pPr>
        <w:rPr>
          <w:bCs/>
        </w:rPr>
      </w:pPr>
    </w:p>
    <w:p w14:paraId="20150A6D" w14:textId="77777777" w:rsidR="007778DA" w:rsidRDefault="007778DA" w:rsidP="00A51933">
      <w:pPr>
        <w:rPr>
          <w:bCs/>
        </w:rPr>
      </w:pPr>
    </w:p>
    <w:p w14:paraId="70D89650" w14:textId="327222B9" w:rsidR="004A15C0" w:rsidRPr="00094F43" w:rsidRDefault="002E02CA" w:rsidP="004A15C0">
      <w:pPr>
        <w:pStyle w:val="Heading1"/>
        <w:spacing w:after="80"/>
        <w:jc w:val="left"/>
        <w:rPr>
          <w:sz w:val="24"/>
          <w:lang w:eastAsia="zh-CN"/>
        </w:rPr>
      </w:pPr>
      <w:r>
        <w:rPr>
          <w:sz w:val="24"/>
          <w:lang w:eastAsia="zh-CN"/>
        </w:rPr>
        <w:t>Coverage enhancement level for IoT-NTN</w:t>
      </w:r>
    </w:p>
    <w:p w14:paraId="5211AA89" w14:textId="78E29265" w:rsidR="002850D0" w:rsidRPr="002850D0" w:rsidRDefault="002E02CA" w:rsidP="002850D0">
      <w:pPr>
        <w:rPr>
          <w:bCs/>
        </w:rPr>
      </w:pPr>
      <w:r>
        <w:rPr>
          <w:bCs/>
        </w:rPr>
        <w:t xml:space="preserve">The amount of coverage enhancement for IoT-NTN was considered in </w:t>
      </w:r>
      <w:r w:rsidR="00886DDA">
        <w:rPr>
          <w:bCs/>
        </w:rPr>
        <w:fldChar w:fldCharType="begin"/>
      </w:r>
      <w:r w:rsidR="00886DDA">
        <w:rPr>
          <w:bCs/>
        </w:rPr>
        <w:instrText xml:space="preserve"> REF _Ref61920393 \r \h </w:instrText>
      </w:r>
      <w:r w:rsidR="00886DDA">
        <w:rPr>
          <w:bCs/>
        </w:rPr>
      </w:r>
      <w:r w:rsidR="00886DDA">
        <w:rPr>
          <w:bCs/>
        </w:rPr>
        <w:fldChar w:fldCharType="separate"/>
      </w:r>
      <w:r w:rsidR="00A911A1">
        <w:rPr>
          <w:bCs/>
        </w:rPr>
        <w:t>[5]</w:t>
      </w:r>
      <w:r w:rsidR="00886DDA">
        <w:rPr>
          <w:bCs/>
        </w:rPr>
        <w:fldChar w:fldCharType="end"/>
      </w:r>
      <w:r w:rsidR="00886DDA">
        <w:rPr>
          <w:bCs/>
        </w:rPr>
        <w:t xml:space="preserve">. The supported physical layer data rates and expected numbers of repetitions required for </w:t>
      </w:r>
      <w:proofErr w:type="spellStart"/>
      <w:r w:rsidR="00886DDA">
        <w:rPr>
          <w:bCs/>
        </w:rPr>
        <w:t>eMTC</w:t>
      </w:r>
      <w:proofErr w:type="spellEnd"/>
      <w:r w:rsidR="00886DDA">
        <w:rPr>
          <w:bCs/>
        </w:rPr>
        <w:t xml:space="preserve"> are shown in </w:t>
      </w:r>
      <w:r w:rsidR="00886DDA">
        <w:rPr>
          <w:bCs/>
        </w:rPr>
        <w:fldChar w:fldCharType="begin"/>
      </w:r>
      <w:r w:rsidR="00886DDA">
        <w:rPr>
          <w:bCs/>
        </w:rPr>
        <w:instrText xml:space="preserve"> REF _Ref61897076 \h </w:instrText>
      </w:r>
      <w:r w:rsidR="00886DDA">
        <w:rPr>
          <w:bCs/>
        </w:rPr>
      </w:r>
      <w:r w:rsidR="00886DDA">
        <w:rPr>
          <w:bCs/>
        </w:rPr>
        <w:fldChar w:fldCharType="separate"/>
      </w:r>
      <w:r w:rsidR="00A911A1">
        <w:t xml:space="preserve">Table </w:t>
      </w:r>
      <w:r w:rsidR="00A911A1">
        <w:rPr>
          <w:noProof/>
        </w:rPr>
        <w:t>1</w:t>
      </w:r>
      <w:r w:rsidR="00886DDA">
        <w:rPr>
          <w:bCs/>
        </w:rPr>
        <w:fldChar w:fldCharType="end"/>
      </w:r>
      <w:r w:rsidR="00886DDA">
        <w:rPr>
          <w:bCs/>
        </w:rPr>
        <w:t xml:space="preserve">, which is taken from </w:t>
      </w:r>
      <w:r w:rsidR="00886DDA">
        <w:rPr>
          <w:bCs/>
        </w:rPr>
        <w:fldChar w:fldCharType="begin"/>
      </w:r>
      <w:r w:rsidR="00886DDA">
        <w:rPr>
          <w:bCs/>
        </w:rPr>
        <w:instrText xml:space="preserve"> REF _Ref61920393 \r \h </w:instrText>
      </w:r>
      <w:r w:rsidR="00886DDA">
        <w:rPr>
          <w:bCs/>
        </w:rPr>
      </w:r>
      <w:r w:rsidR="00886DDA">
        <w:rPr>
          <w:bCs/>
        </w:rPr>
        <w:fldChar w:fldCharType="separate"/>
      </w:r>
      <w:r w:rsidR="00A911A1">
        <w:rPr>
          <w:bCs/>
        </w:rPr>
        <w:t>[5]</w:t>
      </w:r>
      <w:r w:rsidR="00886DDA">
        <w:rPr>
          <w:bCs/>
        </w:rPr>
        <w:fldChar w:fldCharType="end"/>
      </w:r>
      <w:r w:rsidR="00886DDA">
        <w:rPr>
          <w:bCs/>
        </w:rPr>
        <w:t xml:space="preserve">. This table shows that the data rates that are supported in the IoT-NTN UL are relatively low and a significant amount of repetition / coverage enhancement is required to compensate for the pathloss. The low data rates and significant coverage enhancement indicate that it will be a challenge to meet the battery lifetime requirements in TR45.820 </w:t>
      </w:r>
      <w:r w:rsidR="00886DDA">
        <w:rPr>
          <w:bCs/>
        </w:rPr>
        <w:fldChar w:fldCharType="begin"/>
      </w:r>
      <w:r w:rsidR="00886DDA">
        <w:rPr>
          <w:bCs/>
        </w:rPr>
        <w:instrText xml:space="preserve"> REF _Ref61920094 \r \h </w:instrText>
      </w:r>
      <w:r w:rsidR="00886DDA">
        <w:rPr>
          <w:bCs/>
        </w:rPr>
      </w:r>
      <w:r w:rsidR="00886DDA">
        <w:rPr>
          <w:bCs/>
        </w:rPr>
        <w:fldChar w:fldCharType="separate"/>
      </w:r>
      <w:r w:rsidR="00A911A1">
        <w:rPr>
          <w:bCs/>
        </w:rPr>
        <w:t>[4]</w:t>
      </w:r>
      <w:r w:rsidR="00886DDA">
        <w:rPr>
          <w:bCs/>
        </w:rPr>
        <w:fldChar w:fldCharType="end"/>
      </w:r>
      <w:r w:rsidR="00886DDA">
        <w:rPr>
          <w:bCs/>
        </w:rPr>
        <w:t>.</w:t>
      </w:r>
    </w:p>
    <w:p w14:paraId="3854D7BF" w14:textId="2E18E309" w:rsidR="00886DDA" w:rsidRDefault="00886DDA" w:rsidP="00886DDA">
      <w:pPr>
        <w:pStyle w:val="Caption"/>
      </w:pPr>
      <w:bookmarkStart w:id="2" w:name="_Ref61897076"/>
      <w:r>
        <w:t xml:space="preserve">Table </w:t>
      </w:r>
      <w:r>
        <w:fldChar w:fldCharType="begin"/>
      </w:r>
      <w:r>
        <w:instrText xml:space="preserve"> SEQ Table \* ARABIC </w:instrText>
      </w:r>
      <w:r>
        <w:fldChar w:fldCharType="separate"/>
      </w:r>
      <w:r w:rsidR="00A911A1">
        <w:rPr>
          <w:noProof/>
        </w:rPr>
        <w:t>1</w:t>
      </w:r>
      <w:r>
        <w:rPr>
          <w:noProof/>
        </w:rPr>
        <w:fldChar w:fldCharType="end"/>
      </w:r>
      <w:bookmarkEnd w:id="2"/>
      <w:r>
        <w:t xml:space="preserve"> – Available SNR and transmission times for full-PRC </w:t>
      </w:r>
      <w:proofErr w:type="spellStart"/>
      <w:r>
        <w:t>eMTC</w:t>
      </w:r>
      <w:proofErr w:type="spellEnd"/>
      <w:r>
        <w:t xml:space="preserve"> transmissions in IoT-NTN constellations</w:t>
      </w:r>
    </w:p>
    <w:tbl>
      <w:tblPr>
        <w:tblStyle w:val="TableGrid"/>
        <w:tblW w:w="0" w:type="auto"/>
        <w:jc w:val="center"/>
        <w:tblLook w:val="04A0" w:firstRow="1" w:lastRow="0" w:firstColumn="1" w:lastColumn="0" w:noHBand="0" w:noVBand="1"/>
      </w:tblPr>
      <w:tblGrid>
        <w:gridCol w:w="1652"/>
        <w:gridCol w:w="1652"/>
        <w:gridCol w:w="1653"/>
        <w:gridCol w:w="2175"/>
        <w:gridCol w:w="2175"/>
      </w:tblGrid>
      <w:tr w:rsidR="00886DDA" w:rsidRPr="007030C3" w14:paraId="53E24C97" w14:textId="77777777" w:rsidTr="002D7499">
        <w:trPr>
          <w:jc w:val="center"/>
        </w:trPr>
        <w:tc>
          <w:tcPr>
            <w:tcW w:w="1652" w:type="dxa"/>
            <w:shd w:val="clear" w:color="auto" w:fill="D9D9D9" w:themeFill="background1" w:themeFillShade="D9"/>
          </w:tcPr>
          <w:p w14:paraId="3BE670C1" w14:textId="77777777" w:rsidR="00886DDA" w:rsidRPr="007030C3" w:rsidRDefault="00886DDA" w:rsidP="002D7499">
            <w:pPr>
              <w:spacing w:after="0"/>
              <w:rPr>
                <w:b/>
                <w:bCs/>
              </w:rPr>
            </w:pPr>
            <w:r w:rsidRPr="007030C3">
              <w:rPr>
                <w:b/>
                <w:bCs/>
              </w:rPr>
              <w:t>Constellation</w:t>
            </w:r>
          </w:p>
        </w:tc>
        <w:tc>
          <w:tcPr>
            <w:tcW w:w="1652" w:type="dxa"/>
            <w:shd w:val="clear" w:color="auto" w:fill="D9D9D9" w:themeFill="background1" w:themeFillShade="D9"/>
          </w:tcPr>
          <w:p w14:paraId="12806CBD" w14:textId="77777777" w:rsidR="00886DDA" w:rsidRPr="007030C3" w:rsidRDefault="00886DDA" w:rsidP="002D7499">
            <w:pPr>
              <w:spacing w:after="0"/>
              <w:rPr>
                <w:b/>
                <w:bCs/>
              </w:rPr>
            </w:pPr>
            <w:r w:rsidRPr="007030C3">
              <w:rPr>
                <w:b/>
                <w:bCs/>
              </w:rPr>
              <w:t>Available SNR</w:t>
            </w:r>
          </w:p>
        </w:tc>
        <w:tc>
          <w:tcPr>
            <w:tcW w:w="1653" w:type="dxa"/>
            <w:shd w:val="clear" w:color="auto" w:fill="D9D9D9" w:themeFill="background1" w:themeFillShade="D9"/>
          </w:tcPr>
          <w:p w14:paraId="63D85338" w14:textId="77777777" w:rsidR="00886DDA" w:rsidRPr="007030C3" w:rsidRDefault="00886DDA" w:rsidP="002D7499">
            <w:pPr>
              <w:spacing w:after="0"/>
              <w:rPr>
                <w:b/>
                <w:bCs/>
              </w:rPr>
            </w:pPr>
            <w:r>
              <w:rPr>
                <w:b/>
                <w:bCs/>
              </w:rPr>
              <w:t>PHY data rate</w:t>
            </w:r>
          </w:p>
        </w:tc>
        <w:tc>
          <w:tcPr>
            <w:tcW w:w="2175" w:type="dxa"/>
            <w:shd w:val="clear" w:color="auto" w:fill="D9D9D9" w:themeFill="background1" w:themeFillShade="D9"/>
          </w:tcPr>
          <w:p w14:paraId="7CFD6CE6" w14:textId="77777777" w:rsidR="00886DDA" w:rsidRPr="007030C3" w:rsidRDefault="00886DDA" w:rsidP="002D7499">
            <w:pPr>
              <w:spacing w:after="0"/>
              <w:rPr>
                <w:b/>
                <w:bCs/>
              </w:rPr>
            </w:pPr>
            <w:r>
              <w:rPr>
                <w:b/>
                <w:bCs/>
              </w:rPr>
              <w:t xml:space="preserve">Transmission time for </w:t>
            </w:r>
            <w:proofErr w:type="gramStart"/>
            <w:r>
              <w:rPr>
                <w:b/>
                <w:bCs/>
              </w:rPr>
              <w:t>504 bit</w:t>
            </w:r>
            <w:proofErr w:type="gramEnd"/>
            <w:r>
              <w:rPr>
                <w:b/>
                <w:bCs/>
              </w:rPr>
              <w:t xml:space="preserve"> TBS</w:t>
            </w:r>
          </w:p>
        </w:tc>
        <w:tc>
          <w:tcPr>
            <w:tcW w:w="2175" w:type="dxa"/>
            <w:shd w:val="clear" w:color="auto" w:fill="D9D9D9" w:themeFill="background1" w:themeFillShade="D9"/>
          </w:tcPr>
          <w:p w14:paraId="2147A06D" w14:textId="77777777" w:rsidR="00886DDA" w:rsidRDefault="00886DDA" w:rsidP="002D7499">
            <w:pPr>
              <w:spacing w:after="0"/>
              <w:rPr>
                <w:b/>
                <w:bCs/>
              </w:rPr>
            </w:pPr>
            <w:r>
              <w:rPr>
                <w:b/>
                <w:bCs/>
              </w:rPr>
              <w:t xml:space="preserve"># REP for </w:t>
            </w:r>
            <w:proofErr w:type="spellStart"/>
            <w:r>
              <w:rPr>
                <w:b/>
                <w:bCs/>
              </w:rPr>
              <w:t>eMTC</w:t>
            </w:r>
            <w:proofErr w:type="spellEnd"/>
          </w:p>
        </w:tc>
      </w:tr>
      <w:tr w:rsidR="00886DDA" w14:paraId="7D93444F" w14:textId="77777777" w:rsidTr="002D7499">
        <w:trPr>
          <w:jc w:val="center"/>
        </w:trPr>
        <w:tc>
          <w:tcPr>
            <w:tcW w:w="1652" w:type="dxa"/>
          </w:tcPr>
          <w:p w14:paraId="2BA11246" w14:textId="77777777" w:rsidR="00886DDA" w:rsidRDefault="00886DDA" w:rsidP="002D7499">
            <w:pPr>
              <w:spacing w:after="0"/>
            </w:pPr>
            <w:r>
              <w:t>GEO</w:t>
            </w:r>
          </w:p>
        </w:tc>
        <w:tc>
          <w:tcPr>
            <w:tcW w:w="1652" w:type="dxa"/>
          </w:tcPr>
          <w:p w14:paraId="5D46E3F7" w14:textId="77777777" w:rsidR="00886DDA" w:rsidRDefault="00886DDA" w:rsidP="002D7499">
            <w:pPr>
              <w:spacing w:after="0"/>
            </w:pPr>
            <w:r>
              <w:t>-16dB</w:t>
            </w:r>
          </w:p>
        </w:tc>
        <w:tc>
          <w:tcPr>
            <w:tcW w:w="1653" w:type="dxa"/>
          </w:tcPr>
          <w:p w14:paraId="03A46116" w14:textId="77777777" w:rsidR="00886DDA" w:rsidRDefault="00886DDA" w:rsidP="002D7499">
            <w:pPr>
              <w:spacing w:after="0"/>
            </w:pPr>
            <w:r>
              <w:t>1500bps</w:t>
            </w:r>
          </w:p>
        </w:tc>
        <w:tc>
          <w:tcPr>
            <w:tcW w:w="2175" w:type="dxa"/>
          </w:tcPr>
          <w:p w14:paraId="542D411D" w14:textId="77777777" w:rsidR="00886DDA" w:rsidRDefault="00886DDA" w:rsidP="002D7499">
            <w:pPr>
              <w:spacing w:after="0"/>
            </w:pPr>
            <w:r>
              <w:t>340ms</w:t>
            </w:r>
          </w:p>
        </w:tc>
        <w:tc>
          <w:tcPr>
            <w:tcW w:w="2175" w:type="dxa"/>
          </w:tcPr>
          <w:p w14:paraId="6727D13F" w14:textId="77777777" w:rsidR="00886DDA" w:rsidRDefault="00886DDA" w:rsidP="002D7499">
            <w:pPr>
              <w:spacing w:after="0"/>
            </w:pPr>
            <w:r>
              <w:t>256 to 512</w:t>
            </w:r>
          </w:p>
        </w:tc>
      </w:tr>
      <w:tr w:rsidR="00886DDA" w14:paraId="0AFC621A" w14:textId="77777777" w:rsidTr="002D7499">
        <w:trPr>
          <w:jc w:val="center"/>
        </w:trPr>
        <w:tc>
          <w:tcPr>
            <w:tcW w:w="1652" w:type="dxa"/>
          </w:tcPr>
          <w:p w14:paraId="15B09685" w14:textId="77777777" w:rsidR="00886DDA" w:rsidRDefault="00886DDA" w:rsidP="002D7499">
            <w:pPr>
              <w:spacing w:after="0"/>
            </w:pPr>
            <w:r>
              <w:t>LEO-600</w:t>
            </w:r>
          </w:p>
        </w:tc>
        <w:tc>
          <w:tcPr>
            <w:tcW w:w="1652" w:type="dxa"/>
          </w:tcPr>
          <w:p w14:paraId="328B1DB2" w14:textId="77777777" w:rsidR="00886DDA" w:rsidRDefault="00886DDA" w:rsidP="002D7499">
            <w:pPr>
              <w:spacing w:after="0"/>
            </w:pPr>
            <w:r>
              <w:t>-14dB</w:t>
            </w:r>
          </w:p>
        </w:tc>
        <w:tc>
          <w:tcPr>
            <w:tcW w:w="1653" w:type="dxa"/>
          </w:tcPr>
          <w:p w14:paraId="1DFF040B" w14:textId="77777777" w:rsidR="00886DDA" w:rsidRDefault="00886DDA" w:rsidP="002D7499">
            <w:pPr>
              <w:spacing w:after="0"/>
            </w:pPr>
            <w:r>
              <w:t>3000bps</w:t>
            </w:r>
          </w:p>
        </w:tc>
        <w:tc>
          <w:tcPr>
            <w:tcW w:w="2175" w:type="dxa"/>
          </w:tcPr>
          <w:p w14:paraId="5B4ACD52" w14:textId="77777777" w:rsidR="00886DDA" w:rsidRDefault="00886DDA" w:rsidP="002D7499">
            <w:pPr>
              <w:spacing w:after="0"/>
            </w:pPr>
            <w:r>
              <w:t>170ms</w:t>
            </w:r>
          </w:p>
        </w:tc>
        <w:tc>
          <w:tcPr>
            <w:tcW w:w="2175" w:type="dxa"/>
          </w:tcPr>
          <w:p w14:paraId="5FB3ACE3" w14:textId="77777777" w:rsidR="00886DDA" w:rsidRDefault="00886DDA" w:rsidP="002D7499">
            <w:pPr>
              <w:spacing w:after="0"/>
            </w:pPr>
            <w:r>
              <w:t>128 to 256</w:t>
            </w:r>
          </w:p>
        </w:tc>
      </w:tr>
      <w:tr w:rsidR="00886DDA" w14:paraId="5ACB49ED" w14:textId="77777777" w:rsidTr="002D7499">
        <w:trPr>
          <w:jc w:val="center"/>
        </w:trPr>
        <w:tc>
          <w:tcPr>
            <w:tcW w:w="1652" w:type="dxa"/>
          </w:tcPr>
          <w:p w14:paraId="0F4C2690" w14:textId="77777777" w:rsidR="00886DDA" w:rsidRDefault="00886DDA" w:rsidP="002D7499">
            <w:pPr>
              <w:spacing w:after="0"/>
            </w:pPr>
            <w:r>
              <w:t>LEO-1200</w:t>
            </w:r>
          </w:p>
        </w:tc>
        <w:tc>
          <w:tcPr>
            <w:tcW w:w="1652" w:type="dxa"/>
          </w:tcPr>
          <w:p w14:paraId="77700EBE" w14:textId="77777777" w:rsidR="00886DDA" w:rsidRDefault="00886DDA" w:rsidP="002D7499">
            <w:pPr>
              <w:spacing w:after="0"/>
            </w:pPr>
            <w:r>
              <w:t>-19.5dB</w:t>
            </w:r>
          </w:p>
        </w:tc>
        <w:tc>
          <w:tcPr>
            <w:tcW w:w="1653" w:type="dxa"/>
          </w:tcPr>
          <w:p w14:paraId="20F28437" w14:textId="77777777" w:rsidR="00886DDA" w:rsidRDefault="00886DDA" w:rsidP="002D7499">
            <w:pPr>
              <w:spacing w:after="0"/>
            </w:pPr>
            <w:r>
              <w:t>600bps</w:t>
            </w:r>
          </w:p>
        </w:tc>
        <w:tc>
          <w:tcPr>
            <w:tcW w:w="2175" w:type="dxa"/>
          </w:tcPr>
          <w:p w14:paraId="12C6E8C2" w14:textId="77777777" w:rsidR="00886DDA" w:rsidRDefault="00886DDA" w:rsidP="002D7499">
            <w:pPr>
              <w:spacing w:after="0"/>
            </w:pPr>
            <w:r>
              <w:t>840ms</w:t>
            </w:r>
          </w:p>
        </w:tc>
        <w:tc>
          <w:tcPr>
            <w:tcW w:w="2175" w:type="dxa"/>
          </w:tcPr>
          <w:p w14:paraId="73DC057C" w14:textId="77777777" w:rsidR="00886DDA" w:rsidRDefault="00886DDA" w:rsidP="002D7499">
            <w:pPr>
              <w:spacing w:after="0"/>
            </w:pPr>
            <w:r>
              <w:t>1024</w:t>
            </w:r>
          </w:p>
        </w:tc>
      </w:tr>
    </w:tbl>
    <w:p w14:paraId="677C9DF2" w14:textId="271E0C97" w:rsidR="006E40CF" w:rsidRDefault="006E40CF" w:rsidP="00D145ED">
      <w:pPr>
        <w:rPr>
          <w:bCs/>
        </w:rPr>
      </w:pPr>
    </w:p>
    <w:p w14:paraId="0345677E" w14:textId="49802F96" w:rsidR="00A911A1" w:rsidRDefault="00886DDA" w:rsidP="00886DDA">
      <w:pPr>
        <w:rPr>
          <w:bCs/>
        </w:rPr>
      </w:pPr>
      <w:r>
        <w:rPr>
          <w:bCs/>
        </w:rPr>
        <w:t xml:space="preserve">The </w:t>
      </w:r>
      <w:r>
        <w:rPr>
          <w:bCs/>
        </w:rPr>
        <w:t xml:space="preserve">good news is that both </w:t>
      </w:r>
      <w:proofErr w:type="spellStart"/>
      <w:r>
        <w:rPr>
          <w:bCs/>
        </w:rPr>
        <w:t>eMTC</w:t>
      </w:r>
      <w:proofErr w:type="spellEnd"/>
      <w:r>
        <w:rPr>
          <w:bCs/>
        </w:rPr>
        <w:t xml:space="preserve"> and NB-IoT are both able to meet the battery lifetime KPIs set out in TR45.820 even in extreme coverage situations, such as when the maximum coupling loss, MCL, of the link is 164dB</w:t>
      </w:r>
      <w:r>
        <w:rPr>
          <w:bCs/>
        </w:rPr>
        <w:t>.</w:t>
      </w:r>
      <w:r>
        <w:rPr>
          <w:bCs/>
        </w:rPr>
        <w:t xml:space="preserve"> An interesting analysis of how </w:t>
      </w:r>
      <w:proofErr w:type="spellStart"/>
      <w:r>
        <w:rPr>
          <w:bCs/>
        </w:rPr>
        <w:t>eMTC</w:t>
      </w:r>
      <w:proofErr w:type="spellEnd"/>
      <w:r>
        <w:rPr>
          <w:bCs/>
        </w:rPr>
        <w:t xml:space="preserve"> meets the 5G IoT requirements is provided in </w:t>
      </w:r>
      <w:r>
        <w:rPr>
          <w:bCs/>
        </w:rPr>
        <w:fldChar w:fldCharType="begin"/>
      </w:r>
      <w:r>
        <w:rPr>
          <w:bCs/>
        </w:rPr>
        <w:instrText xml:space="preserve"> REF _Ref61920881 \r \h </w:instrText>
      </w:r>
      <w:r>
        <w:rPr>
          <w:bCs/>
        </w:rPr>
      </w:r>
      <w:r>
        <w:rPr>
          <w:bCs/>
        </w:rPr>
        <w:fldChar w:fldCharType="separate"/>
      </w:r>
      <w:r w:rsidR="00A911A1">
        <w:rPr>
          <w:bCs/>
        </w:rPr>
        <w:t>[3]</w:t>
      </w:r>
      <w:r>
        <w:rPr>
          <w:bCs/>
        </w:rPr>
        <w:fldChar w:fldCharType="end"/>
      </w:r>
      <w:r>
        <w:rPr>
          <w:bCs/>
        </w:rPr>
        <w:t>.</w:t>
      </w:r>
    </w:p>
    <w:p w14:paraId="434794E2" w14:textId="6272ACDE" w:rsidR="00A84F0C" w:rsidRPr="00094F43" w:rsidRDefault="00A84F0C" w:rsidP="00A84F0C">
      <w:pPr>
        <w:pStyle w:val="Heading1"/>
        <w:spacing w:after="80"/>
        <w:jc w:val="left"/>
        <w:rPr>
          <w:sz w:val="24"/>
          <w:lang w:eastAsia="zh-CN"/>
        </w:rPr>
      </w:pPr>
      <w:r>
        <w:rPr>
          <w:sz w:val="24"/>
          <w:lang w:eastAsia="zh-CN"/>
        </w:rPr>
        <w:t>Additional power consumption challenges of</w:t>
      </w:r>
      <w:r>
        <w:rPr>
          <w:sz w:val="24"/>
          <w:lang w:eastAsia="zh-CN"/>
        </w:rPr>
        <w:t xml:space="preserve"> IoT-NTN</w:t>
      </w:r>
    </w:p>
    <w:p w14:paraId="647C77A0" w14:textId="77777777" w:rsidR="00A84F0C" w:rsidRDefault="00A84F0C" w:rsidP="00886DDA">
      <w:pPr>
        <w:rPr>
          <w:bCs/>
        </w:rPr>
      </w:pPr>
      <w:r>
        <w:rPr>
          <w:bCs/>
        </w:rPr>
        <w:t xml:space="preserve">Compared to terrestrial </w:t>
      </w:r>
      <w:proofErr w:type="spellStart"/>
      <w:r>
        <w:rPr>
          <w:bCs/>
        </w:rPr>
        <w:t>eMTC</w:t>
      </w:r>
      <w:proofErr w:type="spellEnd"/>
      <w:r>
        <w:rPr>
          <w:bCs/>
        </w:rPr>
        <w:t xml:space="preserve"> and NB-IoT, t</w:t>
      </w:r>
      <w:r w:rsidR="00886DDA">
        <w:rPr>
          <w:bCs/>
        </w:rPr>
        <w:t xml:space="preserve">here are additional challenges in IoT-NTN that mean that the power consumption of IoT-NTN </w:t>
      </w:r>
      <w:proofErr w:type="gramStart"/>
      <w:r w:rsidR="00886DDA">
        <w:rPr>
          <w:bCs/>
        </w:rPr>
        <w:t>has to</w:t>
      </w:r>
      <w:proofErr w:type="gramEnd"/>
      <w:r w:rsidR="00886DDA">
        <w:rPr>
          <w:bCs/>
        </w:rPr>
        <w:t xml:space="preserve"> be carefully considered.</w:t>
      </w:r>
    </w:p>
    <w:p w14:paraId="32720589" w14:textId="5D2D6773" w:rsidR="00886DDA" w:rsidRDefault="00A84F0C" w:rsidP="00886DDA">
      <w:pPr>
        <w:rPr>
          <w:bCs/>
        </w:rPr>
      </w:pPr>
      <w:r>
        <w:rPr>
          <w:bCs/>
        </w:rPr>
        <w:t xml:space="preserve">The large </w:t>
      </w:r>
      <w:proofErr w:type="gramStart"/>
      <w:r>
        <w:rPr>
          <w:bCs/>
        </w:rPr>
        <w:t>round trip</w:t>
      </w:r>
      <w:proofErr w:type="gramEnd"/>
      <w:r>
        <w:rPr>
          <w:bCs/>
        </w:rPr>
        <w:t xml:space="preserve"> times in IoT-NTN systems, especially for GEO constellations, mean that the UE needs to be “on” for longer in order to communicate the same amount of data. It would hence be helpful if the UE could sleep for as long as possible during the </w:t>
      </w:r>
      <w:proofErr w:type="gramStart"/>
      <w:r>
        <w:rPr>
          <w:bCs/>
        </w:rPr>
        <w:t>round trip</w:t>
      </w:r>
      <w:proofErr w:type="gramEnd"/>
      <w:r>
        <w:rPr>
          <w:bCs/>
        </w:rPr>
        <w:t xml:space="preserve"> time in order to conserve power. This aspect has been considered in </w:t>
      </w:r>
      <w:r>
        <w:rPr>
          <w:bCs/>
        </w:rPr>
        <w:fldChar w:fldCharType="begin"/>
      </w:r>
      <w:r>
        <w:rPr>
          <w:bCs/>
        </w:rPr>
        <w:instrText xml:space="preserve"> REF _Ref61920393 \r \h </w:instrText>
      </w:r>
      <w:r>
        <w:rPr>
          <w:bCs/>
        </w:rPr>
      </w:r>
      <w:r>
        <w:rPr>
          <w:bCs/>
        </w:rPr>
        <w:fldChar w:fldCharType="separate"/>
      </w:r>
      <w:r w:rsidR="00A911A1">
        <w:rPr>
          <w:bCs/>
        </w:rPr>
        <w:t>[5]</w:t>
      </w:r>
      <w:r>
        <w:rPr>
          <w:bCs/>
        </w:rPr>
        <w:fldChar w:fldCharType="end"/>
      </w:r>
      <w:r>
        <w:rPr>
          <w:bCs/>
        </w:rPr>
        <w:t xml:space="preserve"> and </w:t>
      </w:r>
      <w:r w:rsidR="00F0354F">
        <w:rPr>
          <w:bCs/>
        </w:rPr>
        <w:t xml:space="preserve">is summarized in section </w:t>
      </w:r>
      <w:r w:rsidR="00F0354F">
        <w:rPr>
          <w:bCs/>
        </w:rPr>
        <w:fldChar w:fldCharType="begin"/>
      </w:r>
      <w:r w:rsidR="00F0354F">
        <w:rPr>
          <w:bCs/>
        </w:rPr>
        <w:instrText xml:space="preserve"> REF _Ref61921849 \r \h </w:instrText>
      </w:r>
      <w:r w:rsidR="00F0354F">
        <w:rPr>
          <w:bCs/>
        </w:rPr>
      </w:r>
      <w:r w:rsidR="00F0354F">
        <w:rPr>
          <w:bCs/>
        </w:rPr>
        <w:fldChar w:fldCharType="separate"/>
      </w:r>
      <w:r w:rsidR="00A911A1">
        <w:rPr>
          <w:bCs/>
        </w:rPr>
        <w:t>4</w:t>
      </w:r>
      <w:r w:rsidR="00F0354F">
        <w:rPr>
          <w:bCs/>
        </w:rPr>
        <w:fldChar w:fldCharType="end"/>
      </w:r>
      <w:r w:rsidR="00F0354F">
        <w:rPr>
          <w:bCs/>
        </w:rPr>
        <w:t>.</w:t>
      </w:r>
    </w:p>
    <w:p w14:paraId="78DB18E0" w14:textId="4E632EC3" w:rsidR="762EC356" w:rsidRDefault="00F0354F" w:rsidP="00A911A1">
      <w:r>
        <w:rPr>
          <w:bCs/>
        </w:rPr>
        <w:t xml:space="preserve">An IoT-NTN UE needs to make GNSS measurements prior to UL transmissions, since the UE needs to determine the timing advance and frequency compensation to apply. The UE should only make GNSS measurements when it </w:t>
      </w:r>
      <w:proofErr w:type="gramStart"/>
      <w:r>
        <w:rPr>
          <w:bCs/>
        </w:rPr>
        <w:t>definitely needs</w:t>
      </w:r>
      <w:proofErr w:type="gramEnd"/>
      <w:r>
        <w:rPr>
          <w:bCs/>
        </w:rPr>
        <w:t xml:space="preserve"> to transmit in the UL. The UE should not be required to make GNSS measurements “just in case” it is scheduled or paged. This issue was considered in </w:t>
      </w:r>
      <w:r>
        <w:rPr>
          <w:bCs/>
        </w:rPr>
        <w:fldChar w:fldCharType="begin"/>
      </w:r>
      <w:r>
        <w:rPr>
          <w:bCs/>
        </w:rPr>
        <w:instrText xml:space="preserve"> REF _Ref61922116 \r \h </w:instrText>
      </w:r>
      <w:r>
        <w:rPr>
          <w:bCs/>
        </w:rPr>
      </w:r>
      <w:r>
        <w:rPr>
          <w:bCs/>
        </w:rPr>
        <w:fldChar w:fldCharType="separate"/>
      </w:r>
      <w:r w:rsidR="00A911A1">
        <w:rPr>
          <w:bCs/>
        </w:rPr>
        <w:t>[6]</w:t>
      </w:r>
      <w:r>
        <w:rPr>
          <w:bCs/>
        </w:rPr>
        <w:fldChar w:fldCharType="end"/>
      </w:r>
      <w:r>
        <w:rPr>
          <w:bCs/>
        </w:rPr>
        <w:t xml:space="preserve"> and is summarized in section </w:t>
      </w:r>
      <w:r>
        <w:rPr>
          <w:bCs/>
        </w:rPr>
        <w:fldChar w:fldCharType="begin"/>
      </w:r>
      <w:r>
        <w:rPr>
          <w:bCs/>
        </w:rPr>
        <w:instrText xml:space="preserve"> REF _Ref61922187 \r \h </w:instrText>
      </w:r>
      <w:r>
        <w:rPr>
          <w:bCs/>
        </w:rPr>
      </w:r>
      <w:r>
        <w:rPr>
          <w:bCs/>
        </w:rPr>
        <w:fldChar w:fldCharType="separate"/>
      </w:r>
      <w:r w:rsidR="00A911A1">
        <w:rPr>
          <w:bCs/>
        </w:rPr>
        <w:t>5</w:t>
      </w:r>
      <w:r>
        <w:rPr>
          <w:bCs/>
        </w:rPr>
        <w:fldChar w:fldCharType="end"/>
      </w:r>
      <w:r>
        <w:rPr>
          <w:bCs/>
        </w:rPr>
        <w:t>.</w:t>
      </w:r>
    </w:p>
    <w:p w14:paraId="451B52B8" w14:textId="44413230" w:rsidR="00A84F0C" w:rsidRDefault="00A84F0C" w:rsidP="00A84F0C"/>
    <w:p w14:paraId="5B4F7DC4" w14:textId="01F3353C" w:rsidR="00A84F0C" w:rsidRPr="00094F43" w:rsidRDefault="00A84F0C" w:rsidP="00A84F0C">
      <w:pPr>
        <w:pStyle w:val="Heading1"/>
        <w:spacing w:after="80"/>
        <w:jc w:val="left"/>
        <w:rPr>
          <w:sz w:val="24"/>
          <w:lang w:eastAsia="zh-CN"/>
        </w:rPr>
      </w:pPr>
      <w:bookmarkStart w:id="3" w:name="_Ref61921849"/>
      <w:r>
        <w:rPr>
          <w:sz w:val="24"/>
          <w:lang w:eastAsia="zh-CN"/>
        </w:rPr>
        <w:t xml:space="preserve">Excess power consumption during the </w:t>
      </w:r>
      <w:proofErr w:type="gramStart"/>
      <w:r>
        <w:rPr>
          <w:sz w:val="24"/>
          <w:lang w:eastAsia="zh-CN"/>
        </w:rPr>
        <w:t>round trip</w:t>
      </w:r>
      <w:proofErr w:type="gramEnd"/>
      <w:r>
        <w:rPr>
          <w:sz w:val="24"/>
          <w:lang w:eastAsia="zh-CN"/>
        </w:rPr>
        <w:t xml:space="preserve"> time</w:t>
      </w:r>
      <w:bookmarkEnd w:id="3"/>
    </w:p>
    <w:p w14:paraId="6B61BA52" w14:textId="5E6293FD" w:rsidR="00F0354F" w:rsidRDefault="00A84F0C" w:rsidP="00A84F0C">
      <w:pPr>
        <w:rPr>
          <w:bCs/>
        </w:rPr>
      </w:pPr>
      <w:r>
        <w:rPr>
          <w:bCs/>
        </w:rPr>
        <w:t>The</w:t>
      </w:r>
      <w:r>
        <w:rPr>
          <w:bCs/>
        </w:rPr>
        <w:t xml:space="preserve"> issue </w:t>
      </w:r>
      <w:r>
        <w:rPr>
          <w:bCs/>
        </w:rPr>
        <w:t xml:space="preserve">of excess power consumption during the </w:t>
      </w:r>
      <w:proofErr w:type="gramStart"/>
      <w:r>
        <w:rPr>
          <w:bCs/>
        </w:rPr>
        <w:t>round trip</w:t>
      </w:r>
      <w:proofErr w:type="gramEnd"/>
      <w:r>
        <w:rPr>
          <w:bCs/>
        </w:rPr>
        <w:t xml:space="preserve"> time </w:t>
      </w:r>
      <w:r>
        <w:rPr>
          <w:bCs/>
        </w:rPr>
        <w:t xml:space="preserve">is illustrated in </w:t>
      </w:r>
      <w:r>
        <w:rPr>
          <w:bCs/>
        </w:rPr>
        <w:fldChar w:fldCharType="begin"/>
      </w:r>
      <w:r>
        <w:rPr>
          <w:bCs/>
        </w:rPr>
        <w:instrText xml:space="preserve"> REF _Ref61904818 \h </w:instrText>
      </w:r>
      <w:r>
        <w:rPr>
          <w:bCs/>
        </w:rPr>
      </w:r>
      <w:r>
        <w:rPr>
          <w:bCs/>
        </w:rPr>
        <w:fldChar w:fldCharType="separate"/>
      </w:r>
      <w:r w:rsidR="00A911A1">
        <w:t xml:space="preserve">Figure </w:t>
      </w:r>
      <w:r w:rsidR="00A911A1">
        <w:rPr>
          <w:noProof/>
        </w:rPr>
        <w:t>1</w:t>
      </w:r>
      <w:r>
        <w:rPr>
          <w:bCs/>
        </w:rPr>
        <w:fldChar w:fldCharType="end"/>
      </w:r>
      <w:r>
        <w:rPr>
          <w:bCs/>
        </w:rPr>
        <w:t xml:space="preserve">. The figure shows </w:t>
      </w:r>
      <w:r>
        <w:rPr>
          <w:bCs/>
        </w:rPr>
        <w:t xml:space="preserve">a typical </w:t>
      </w:r>
      <w:r>
        <w:rPr>
          <w:bCs/>
        </w:rPr>
        <w:t xml:space="preserve">GEO scenario </w:t>
      </w:r>
      <w:r>
        <w:rPr>
          <w:bCs/>
        </w:rPr>
        <w:t xml:space="preserve">(details are provided in </w:t>
      </w:r>
      <w:r>
        <w:fldChar w:fldCharType="begin"/>
      </w:r>
      <w:r>
        <w:instrText xml:space="preserve"> REF _Ref61920393 \r \h </w:instrText>
      </w:r>
      <w:r>
        <w:fldChar w:fldCharType="separate"/>
      </w:r>
      <w:r w:rsidR="00A911A1">
        <w:t>[5]</w:t>
      </w:r>
      <w:r>
        <w:fldChar w:fldCharType="end"/>
      </w:r>
      <w:proofErr w:type="gramStart"/>
      <w:r>
        <w:t>)</w:t>
      </w:r>
      <w:r>
        <w:rPr>
          <w:bCs/>
        </w:rPr>
        <w:t xml:space="preserve">, </w:t>
      </w:r>
      <w:r>
        <w:rPr>
          <w:bCs/>
        </w:rPr>
        <w:t>and</w:t>
      </w:r>
      <w:proofErr w:type="gramEnd"/>
      <w:r>
        <w:rPr>
          <w:bCs/>
        </w:rPr>
        <w:t xml:space="preserve"> shows a power consumption profile for the UE. </w:t>
      </w:r>
      <w:r>
        <w:rPr>
          <w:bCs/>
        </w:rPr>
        <w:t xml:space="preserve">The figure shows that during a portion of the </w:t>
      </w:r>
      <w:proofErr w:type="gramStart"/>
      <w:r>
        <w:rPr>
          <w:bCs/>
        </w:rPr>
        <w:t>round trip</w:t>
      </w:r>
      <w:proofErr w:type="gramEnd"/>
      <w:r>
        <w:rPr>
          <w:bCs/>
        </w:rPr>
        <w:t xml:space="preserve"> time, the UE cannot be scheduled with UL data and could save power by going to sleep rather than unnecessarily monitoring MPDCCH. </w:t>
      </w:r>
    </w:p>
    <w:p w14:paraId="26AF039A" w14:textId="7AFF9E0A" w:rsidR="00A84F0C" w:rsidRDefault="00A84F0C" w:rsidP="00A84F0C">
      <w:pPr>
        <w:rPr>
          <w:bCs/>
        </w:rPr>
      </w:pPr>
      <w:r>
        <w:rPr>
          <w:bCs/>
        </w:rPr>
        <w:t xml:space="preserve">The figure shows </w:t>
      </w:r>
      <w:r w:rsidR="00F0354F">
        <w:rPr>
          <w:bCs/>
        </w:rPr>
        <w:t>a UE operating with 2 HARQ processes.</w:t>
      </w:r>
      <w:r>
        <w:rPr>
          <w:bCs/>
        </w:rPr>
        <w:t xml:space="preserve"> </w:t>
      </w:r>
      <w:r w:rsidR="00F0354F">
        <w:rPr>
          <w:bCs/>
        </w:rPr>
        <w:t>H</w:t>
      </w:r>
      <w:r>
        <w:rPr>
          <w:bCs/>
        </w:rPr>
        <w:t xml:space="preserve">aving transmitted 2 PUSCH in the UL, the UE cannot be scheduled with further PUSCH until a time equal to the RTT has elapsed since the end of the first PUSCH. However, the UE needs to monitor MPDCCH during this time just in case it is scheduled. While the UE could be scheduled with a DL grant during this time, such scheduling is unlikely as such a DL transmission would not be in response to the UL data that is being transmitted to the </w:t>
      </w:r>
      <w:proofErr w:type="spellStart"/>
      <w:r>
        <w:rPr>
          <w:bCs/>
        </w:rPr>
        <w:t>eNB</w:t>
      </w:r>
      <w:proofErr w:type="spellEnd"/>
      <w:r>
        <w:rPr>
          <w:bCs/>
        </w:rPr>
        <w:t xml:space="preserve"> in the earlier PUSCH (that PUSCH has not yet been received by the </w:t>
      </w:r>
      <w:proofErr w:type="spellStart"/>
      <w:r>
        <w:rPr>
          <w:bCs/>
        </w:rPr>
        <w:t>eNB</w:t>
      </w:r>
      <w:proofErr w:type="spellEnd"/>
      <w:r>
        <w:rPr>
          <w:bCs/>
        </w:rPr>
        <w:t>). The yellow dashed portion of the power consumption profile in this figure is hence essentially wasted power as the UE might as well be in a sleep state until the end of the RTT, when the UE can be scheduled with a further UL grant.</w:t>
      </w:r>
    </w:p>
    <w:p w14:paraId="2329F93F" w14:textId="15692DED" w:rsidR="00A84F0C" w:rsidRDefault="00F0354F" w:rsidP="00A84F0C">
      <w:pPr>
        <w:rPr>
          <w:bCs/>
        </w:rPr>
      </w:pPr>
      <w:r>
        <w:rPr>
          <w:bCs/>
        </w:rPr>
        <w:t xml:space="preserve">The figure illustrates that the UE could reduce power consumption by going to sleep for portions of the </w:t>
      </w:r>
      <w:proofErr w:type="gramStart"/>
      <w:r>
        <w:rPr>
          <w:bCs/>
        </w:rPr>
        <w:t>round trip</w:t>
      </w:r>
      <w:proofErr w:type="gramEnd"/>
      <w:r>
        <w:rPr>
          <w:bCs/>
        </w:rPr>
        <w:t xml:space="preserve"> time in which it cannot be scheduled</w:t>
      </w:r>
      <w:r w:rsidR="00A84F0C">
        <w:rPr>
          <w:bCs/>
        </w:rPr>
        <w:t>.</w:t>
      </w:r>
    </w:p>
    <w:p w14:paraId="1C4BB89C" w14:textId="5A370BCF" w:rsidR="00A84F0C" w:rsidRDefault="00F0354F" w:rsidP="00A84F0C">
      <w:pPr>
        <w:rPr>
          <w:b/>
          <w:bCs/>
        </w:rPr>
      </w:pPr>
      <w:r>
        <w:rPr>
          <w:b/>
          <w:bCs/>
        </w:rPr>
        <w:lastRenderedPageBreak/>
        <w:t xml:space="preserve">Observation: To reduce power consumption, it should be possible for a UE to sleep for portions of the </w:t>
      </w:r>
      <w:proofErr w:type="gramStart"/>
      <w:r>
        <w:rPr>
          <w:b/>
          <w:bCs/>
        </w:rPr>
        <w:t>round trip</w:t>
      </w:r>
      <w:proofErr w:type="gramEnd"/>
      <w:r>
        <w:rPr>
          <w:b/>
          <w:bCs/>
        </w:rPr>
        <w:t xml:space="preserve"> time in which it cannot be scheduled</w:t>
      </w:r>
      <w:r w:rsidR="00A84F0C" w:rsidRPr="00671FA9">
        <w:rPr>
          <w:b/>
          <w:bCs/>
        </w:rPr>
        <w:t>.</w:t>
      </w:r>
    </w:p>
    <w:p w14:paraId="1FF60088" w14:textId="77777777" w:rsidR="00A84F0C" w:rsidRDefault="00A84F0C" w:rsidP="00A84F0C">
      <w:pPr>
        <w:rPr>
          <w:bCs/>
        </w:rPr>
      </w:pPr>
    </w:p>
    <w:p w14:paraId="3B7F1C4D" w14:textId="77777777" w:rsidR="00A84F0C" w:rsidRDefault="00A84F0C" w:rsidP="00A84F0C">
      <w:pPr>
        <w:rPr>
          <w:b/>
          <w:bCs/>
        </w:rPr>
      </w:pPr>
      <w:r>
        <w:rPr>
          <w:b/>
          <w:bCs/>
          <w:noProof/>
        </w:rPr>
        <w:drawing>
          <wp:inline distT="0" distB="0" distL="0" distR="0" wp14:anchorId="02DFBF80" wp14:editId="5CC23816">
            <wp:extent cx="5680226" cy="344506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8285" cy="3462083"/>
                    </a:xfrm>
                    <a:prstGeom prst="rect">
                      <a:avLst/>
                    </a:prstGeom>
                    <a:noFill/>
                  </pic:spPr>
                </pic:pic>
              </a:graphicData>
            </a:graphic>
          </wp:inline>
        </w:drawing>
      </w:r>
    </w:p>
    <w:p w14:paraId="166D86F9" w14:textId="372A53BD" w:rsidR="00A84F0C" w:rsidRDefault="00A84F0C" w:rsidP="00A84F0C">
      <w:pPr>
        <w:pStyle w:val="Caption"/>
        <w:rPr>
          <w:b w:val="0"/>
          <w:bCs w:val="0"/>
        </w:rPr>
      </w:pPr>
      <w:bookmarkStart w:id="4" w:name="_Ref61904818"/>
      <w:r>
        <w:t xml:space="preserve">Figure </w:t>
      </w:r>
      <w:r>
        <w:fldChar w:fldCharType="begin"/>
      </w:r>
      <w:r>
        <w:instrText xml:space="preserve"> SEQ Figure \* ARABIC </w:instrText>
      </w:r>
      <w:r>
        <w:fldChar w:fldCharType="separate"/>
      </w:r>
      <w:r w:rsidR="00A911A1">
        <w:rPr>
          <w:noProof/>
        </w:rPr>
        <w:t>1</w:t>
      </w:r>
      <w:r>
        <w:rPr>
          <w:noProof/>
        </w:rPr>
        <w:fldChar w:fldCharType="end"/>
      </w:r>
      <w:bookmarkEnd w:id="4"/>
      <w:r>
        <w:t xml:space="preserve"> - Excess power consumption from monitoring MPDCCH when UE is unlikely to be scheduled</w:t>
      </w:r>
    </w:p>
    <w:p w14:paraId="13DE6AA2" w14:textId="3D9631C2" w:rsidR="00A84F0C" w:rsidRDefault="00A84F0C" w:rsidP="00A84F0C"/>
    <w:p w14:paraId="7AE8D2F6" w14:textId="77777777" w:rsidR="00F0354F" w:rsidRPr="00094F43" w:rsidRDefault="00F0354F" w:rsidP="00F0354F">
      <w:pPr>
        <w:pStyle w:val="Heading1"/>
        <w:spacing w:after="80"/>
        <w:jc w:val="left"/>
        <w:rPr>
          <w:sz w:val="24"/>
          <w:lang w:eastAsia="zh-CN"/>
        </w:rPr>
      </w:pPr>
      <w:bookmarkStart w:id="5" w:name="_Ref61922187"/>
      <w:r>
        <w:rPr>
          <w:sz w:val="24"/>
          <w:lang w:eastAsia="zh-CN"/>
        </w:rPr>
        <w:t>Allowing time for UE to perform a GNSS measurement</w:t>
      </w:r>
      <w:bookmarkEnd w:id="5"/>
    </w:p>
    <w:p w14:paraId="50F22505" w14:textId="77777777" w:rsidR="00F0354F" w:rsidRDefault="00F0354F" w:rsidP="00F0354F">
      <w:pPr>
        <w:rPr>
          <w:bCs/>
        </w:rPr>
      </w:pPr>
      <w:r>
        <w:rPr>
          <w:bCs/>
        </w:rPr>
        <w:t xml:space="preserve">A UE that is in a DRX / </w:t>
      </w:r>
      <w:proofErr w:type="spellStart"/>
      <w:r>
        <w:rPr>
          <w:bCs/>
        </w:rPr>
        <w:t>eDRX</w:t>
      </w:r>
      <w:proofErr w:type="spellEnd"/>
      <w:r>
        <w:rPr>
          <w:bCs/>
        </w:rPr>
        <w:t xml:space="preserve"> mode of operation monitors MPDCCH that </w:t>
      </w:r>
      <w:r w:rsidRPr="00947E9A">
        <w:rPr>
          <w:bCs/>
          <w:i/>
          <w:iCs/>
        </w:rPr>
        <w:t>may</w:t>
      </w:r>
      <w:r>
        <w:rPr>
          <w:bCs/>
        </w:rPr>
        <w:t xml:space="preserve"> allocate a PDSCH with an associated PUCCH. Since the UE does not know whether it will be scheduled or not, it is wasteful of battery resources if the UE </w:t>
      </w:r>
      <w:proofErr w:type="gramStart"/>
      <w:r>
        <w:rPr>
          <w:bCs/>
        </w:rPr>
        <w:t>has to</w:t>
      </w:r>
      <w:proofErr w:type="gramEnd"/>
      <w:r>
        <w:rPr>
          <w:bCs/>
        </w:rPr>
        <w:t xml:space="preserve"> have a valid GNSS measurement prior to the DRX_ON location just in case the UE is scheduled with DL data. It is hence preferable if the UE can make a GNSS measurement once it has received MPDCCH / PDSCH. Allowing time to perform a GNSS measurement would delay the transmission of the PUCCH that is associated with the MPDCCH / PDSCH. </w:t>
      </w:r>
    </w:p>
    <w:p w14:paraId="7483222E" w14:textId="01A3D159" w:rsidR="00F0354F" w:rsidRDefault="00F0354F" w:rsidP="00F0354F">
      <w:pPr>
        <w:rPr>
          <w:bCs/>
        </w:rPr>
      </w:pPr>
      <w:r>
        <w:rPr>
          <w:bCs/>
        </w:rPr>
        <w:t xml:space="preserve">This scenario is illustrated in </w:t>
      </w:r>
      <w:r>
        <w:rPr>
          <w:bCs/>
        </w:rPr>
        <w:fldChar w:fldCharType="begin"/>
      </w:r>
      <w:r>
        <w:rPr>
          <w:bCs/>
        </w:rPr>
        <w:instrText xml:space="preserve"> REF _Ref61918092 \h </w:instrText>
      </w:r>
      <w:r>
        <w:rPr>
          <w:bCs/>
        </w:rPr>
      </w:r>
      <w:r>
        <w:rPr>
          <w:bCs/>
        </w:rPr>
        <w:fldChar w:fldCharType="separate"/>
      </w:r>
      <w:r w:rsidR="00A911A1">
        <w:t xml:space="preserve">Figure </w:t>
      </w:r>
      <w:r w:rsidR="00A911A1">
        <w:rPr>
          <w:noProof/>
        </w:rPr>
        <w:t>2</w:t>
      </w:r>
      <w:r>
        <w:rPr>
          <w:bCs/>
        </w:rPr>
        <w:fldChar w:fldCharType="end"/>
      </w:r>
      <w:r>
        <w:rPr>
          <w:bCs/>
        </w:rPr>
        <w:t xml:space="preserve">. The figure shows that at DRX_ON period “A”, the UE is not allocated MPDCCH / PDSCH. The UE did not make a GNSS measurement prior to “A” as it did not know whether it would be scheduled or not and by not making a GNSS measurement “just in case”, the UE did not unnecessarily use power. At DRX_ON period “B”, the UE is </w:t>
      </w:r>
      <w:proofErr w:type="gramStart"/>
      <w:r>
        <w:rPr>
          <w:bCs/>
        </w:rPr>
        <w:t>actually allocated</w:t>
      </w:r>
      <w:proofErr w:type="gramEnd"/>
      <w:r>
        <w:rPr>
          <w:bCs/>
        </w:rPr>
        <w:t xml:space="preserve"> PDSCH for which there is an associated PUCCH. Since the UE does not have a recent GNSS measurement, the UE delays transmission of the PUCCH by a time </w:t>
      </w:r>
      <w:r w:rsidRPr="00E361F2">
        <w:rPr>
          <w:rFonts w:ascii="Symbol" w:hAnsi="Symbol"/>
          <w:bCs/>
          <w:i/>
          <w:iCs/>
        </w:rPr>
        <w:t>D</w:t>
      </w:r>
      <w:r w:rsidRPr="00E361F2">
        <w:rPr>
          <w:bCs/>
          <w:i/>
          <w:iCs/>
        </w:rPr>
        <w:t>T</w:t>
      </w:r>
      <w:r w:rsidRPr="00E361F2">
        <w:rPr>
          <w:bCs/>
          <w:i/>
          <w:iCs/>
          <w:vertAlign w:val="subscript"/>
        </w:rPr>
        <w:t>2</w:t>
      </w:r>
      <w:r>
        <w:rPr>
          <w:bCs/>
        </w:rPr>
        <w:t xml:space="preserve"> in order to make a GNSS measurement. Based on the GNSS measurement, the UE </w:t>
      </w:r>
      <w:proofErr w:type="gramStart"/>
      <w:r>
        <w:rPr>
          <w:bCs/>
        </w:rPr>
        <w:t>is able to</w:t>
      </w:r>
      <w:proofErr w:type="gramEnd"/>
      <w:r>
        <w:rPr>
          <w:bCs/>
        </w:rPr>
        <w:t xml:space="preserve"> correctly timing advance and frequency compensate the PUCCH transmission.</w:t>
      </w:r>
    </w:p>
    <w:p w14:paraId="65C33818" w14:textId="77777777" w:rsidR="00F0354F" w:rsidRDefault="00F0354F" w:rsidP="00F0354F">
      <w:pPr>
        <w:rPr>
          <w:bCs/>
        </w:rPr>
      </w:pPr>
      <w:r>
        <w:rPr>
          <w:bCs/>
        </w:rPr>
        <w:t>This figure shows the power saving that is possible in the power consumption profile at the base of the figure: the UE does not need to expend power making GNSS measurements before DRX_ON periods, such as “A” and “C” in which it is not scheduled.</w:t>
      </w:r>
    </w:p>
    <w:p w14:paraId="0D4BD474" w14:textId="77777777" w:rsidR="00F0354F" w:rsidRDefault="00F0354F" w:rsidP="00F0354F">
      <w:pPr>
        <w:rPr>
          <w:bCs/>
        </w:rPr>
      </w:pPr>
      <w:r>
        <w:rPr>
          <w:bCs/>
          <w:noProof/>
        </w:rPr>
        <w:lastRenderedPageBreak/>
        <w:drawing>
          <wp:inline distT="0" distB="0" distL="0" distR="0" wp14:anchorId="66034327" wp14:editId="2634160C">
            <wp:extent cx="5832721" cy="3670325"/>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2555" cy="3682806"/>
                    </a:xfrm>
                    <a:prstGeom prst="rect">
                      <a:avLst/>
                    </a:prstGeom>
                    <a:noFill/>
                  </pic:spPr>
                </pic:pic>
              </a:graphicData>
            </a:graphic>
          </wp:inline>
        </w:drawing>
      </w:r>
    </w:p>
    <w:p w14:paraId="3122108D" w14:textId="7061A792" w:rsidR="00F0354F" w:rsidRDefault="00F0354F" w:rsidP="00F0354F">
      <w:pPr>
        <w:pStyle w:val="Caption"/>
        <w:rPr>
          <w:bCs w:val="0"/>
        </w:rPr>
      </w:pPr>
      <w:bookmarkStart w:id="6" w:name="_Ref61918092"/>
      <w:r>
        <w:t xml:space="preserve">Figure </w:t>
      </w:r>
      <w:r>
        <w:fldChar w:fldCharType="begin"/>
      </w:r>
      <w:r>
        <w:instrText xml:space="preserve"> SEQ Figure \* ARABIC </w:instrText>
      </w:r>
      <w:r>
        <w:fldChar w:fldCharType="separate"/>
      </w:r>
      <w:r w:rsidR="00A911A1">
        <w:rPr>
          <w:noProof/>
        </w:rPr>
        <w:t>2</w:t>
      </w:r>
      <w:r>
        <w:rPr>
          <w:noProof/>
        </w:rPr>
        <w:fldChar w:fldCharType="end"/>
      </w:r>
      <w:bookmarkEnd w:id="6"/>
      <w:r>
        <w:t xml:space="preserve"> - UE delays PUCCH transmission to perform GNSS measurement</w:t>
      </w:r>
    </w:p>
    <w:p w14:paraId="02E1C3B9" w14:textId="732853B3" w:rsidR="00F0354F" w:rsidRDefault="00F0354F" w:rsidP="00F0354F">
      <w:pPr>
        <w:rPr>
          <w:bCs/>
        </w:rPr>
      </w:pPr>
    </w:p>
    <w:p w14:paraId="2A1E4329" w14:textId="7B664702" w:rsidR="00F0354F" w:rsidRDefault="00A911A1" w:rsidP="00F0354F">
      <w:pPr>
        <w:rPr>
          <w:b/>
        </w:rPr>
      </w:pPr>
      <w:r>
        <w:rPr>
          <w:b/>
        </w:rPr>
        <w:t>Observation</w:t>
      </w:r>
      <w:r w:rsidR="00F0354F">
        <w:rPr>
          <w:b/>
        </w:rPr>
        <w:t>:</w:t>
      </w:r>
      <w:r w:rsidR="00F0354F" w:rsidRPr="00FC2014">
        <w:rPr>
          <w:b/>
        </w:rPr>
        <w:t xml:space="preserve"> </w:t>
      </w:r>
      <w:r>
        <w:rPr>
          <w:b/>
        </w:rPr>
        <w:t>The UE should not be required to make GNSS measurements “just in case” it is scheduled</w:t>
      </w:r>
      <w:r w:rsidR="00F0354F" w:rsidRPr="00FC2014">
        <w:rPr>
          <w:b/>
        </w:rPr>
        <w:t>.</w:t>
      </w:r>
      <w:r>
        <w:rPr>
          <w:b/>
        </w:rPr>
        <w:t xml:space="preserve"> Timing relationships should allow the UE to make GNSS measurements in a power efficient way only when required.</w:t>
      </w:r>
    </w:p>
    <w:p w14:paraId="45FFA1A3" w14:textId="77777777" w:rsidR="00F0354F" w:rsidRPr="00A84F0C" w:rsidRDefault="00F0354F" w:rsidP="00A84F0C"/>
    <w:p w14:paraId="3FC55F81" w14:textId="105FBB25" w:rsidR="00CE1213" w:rsidRPr="00094F43" w:rsidRDefault="00094F43" w:rsidP="00387C77">
      <w:pPr>
        <w:pStyle w:val="Heading1"/>
        <w:spacing w:after="80"/>
        <w:jc w:val="left"/>
        <w:rPr>
          <w:sz w:val="24"/>
          <w:szCs w:val="24"/>
          <w:lang w:eastAsia="zh-CN"/>
        </w:rPr>
      </w:pPr>
      <w:bookmarkStart w:id="7" w:name="_Hlk47387515"/>
      <w:r w:rsidRPr="5DEF72DC">
        <w:rPr>
          <w:sz w:val="24"/>
          <w:szCs w:val="24"/>
          <w:lang w:eastAsia="zh-CN"/>
        </w:rPr>
        <w:t>Conclusions</w:t>
      </w:r>
    </w:p>
    <w:p w14:paraId="2D7DE78E" w14:textId="28B11ACF" w:rsidR="00E25E48" w:rsidRDefault="00A911A1" w:rsidP="00E25E48">
      <w:pPr>
        <w:rPr>
          <w:bCs/>
        </w:rPr>
      </w:pPr>
      <w:r>
        <w:rPr>
          <w:bCs/>
        </w:rPr>
        <w:t>Achieving the battery lifetime requirements for IoT-NTN will be challenging due to the large amount of coverage enhancement that will have to be applied and the low data rates that will be supported. It is hence important to aim for a power efficient design for IoT-NTN.</w:t>
      </w:r>
    </w:p>
    <w:p w14:paraId="68FA1C0E" w14:textId="77777777" w:rsidR="00A911A1" w:rsidRDefault="00A911A1" w:rsidP="00E25E48">
      <w:pPr>
        <w:rPr>
          <w:bCs/>
        </w:rPr>
      </w:pPr>
      <w:r>
        <w:rPr>
          <w:bCs/>
        </w:rPr>
        <w:t>The power consumption of IoT-NTN is exacerbated by the long round trip times and the requirements to perform GNSS measurements.</w:t>
      </w:r>
    </w:p>
    <w:p w14:paraId="736DF47A" w14:textId="77777777" w:rsidR="00A911A1" w:rsidRDefault="00A911A1" w:rsidP="00E25E48">
      <w:pPr>
        <w:rPr>
          <w:bCs/>
        </w:rPr>
      </w:pPr>
      <w:r>
        <w:rPr>
          <w:bCs/>
        </w:rPr>
        <w:t>This document makes the following observations:</w:t>
      </w:r>
    </w:p>
    <w:p w14:paraId="5C48E28E" w14:textId="77777777" w:rsidR="00A911A1" w:rsidRDefault="00A911A1" w:rsidP="00A911A1">
      <w:pPr>
        <w:rPr>
          <w:b/>
          <w:bCs/>
        </w:rPr>
      </w:pPr>
      <w:r>
        <w:rPr>
          <w:b/>
          <w:bCs/>
        </w:rPr>
        <w:t xml:space="preserve">Observation: To reduce power consumption, it should be possible for a UE to sleep for portions of the </w:t>
      </w:r>
      <w:proofErr w:type="gramStart"/>
      <w:r>
        <w:rPr>
          <w:b/>
          <w:bCs/>
        </w:rPr>
        <w:t>round trip</w:t>
      </w:r>
      <w:proofErr w:type="gramEnd"/>
      <w:r>
        <w:rPr>
          <w:b/>
          <w:bCs/>
        </w:rPr>
        <w:t xml:space="preserve"> time in which it cannot be scheduled</w:t>
      </w:r>
      <w:r w:rsidRPr="00671FA9">
        <w:rPr>
          <w:b/>
          <w:bCs/>
        </w:rPr>
        <w:t>.</w:t>
      </w:r>
    </w:p>
    <w:p w14:paraId="0A79D422" w14:textId="75DAD39E" w:rsidR="002A66B3" w:rsidRDefault="00A911A1" w:rsidP="002A66B3">
      <w:pPr>
        <w:rPr>
          <w:bCs/>
        </w:rPr>
      </w:pPr>
      <w:r>
        <w:rPr>
          <w:b/>
        </w:rPr>
        <w:t>Observation:</w:t>
      </w:r>
      <w:r w:rsidRPr="00FC2014">
        <w:rPr>
          <w:b/>
        </w:rPr>
        <w:t xml:space="preserve"> </w:t>
      </w:r>
      <w:r>
        <w:rPr>
          <w:b/>
        </w:rPr>
        <w:t>The UE should not be required to make GNSS measurements “just in case” it is scheduled</w:t>
      </w:r>
      <w:r w:rsidRPr="00FC2014">
        <w:rPr>
          <w:b/>
        </w:rPr>
        <w:t>.</w:t>
      </w:r>
      <w:r>
        <w:rPr>
          <w:b/>
        </w:rPr>
        <w:t xml:space="preserve"> Timing relationships should allow the UE to make GNSS measurements in a power efficient way only when required.</w:t>
      </w:r>
      <w:bookmarkEnd w:id="7"/>
    </w:p>
    <w:p w14:paraId="41B287EA" w14:textId="77777777" w:rsidR="00D145ED" w:rsidRDefault="00D145ED"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59346BC1" w:rsidR="000E3469" w:rsidRDefault="000E3469" w:rsidP="000E3469">
      <w:pPr>
        <w:pStyle w:val="ListParagraph"/>
        <w:numPr>
          <w:ilvl w:val="0"/>
          <w:numId w:val="11"/>
        </w:numPr>
        <w:ind w:left="426" w:hanging="426"/>
        <w:rPr>
          <w:rFonts w:ascii="Times New Roman" w:hAnsi="Times New Roman" w:cs="Times New Roman"/>
        </w:rPr>
      </w:pPr>
      <w:bookmarkStart w:id="8"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8"/>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1016B05F" w14:textId="6D03C3A0" w:rsidR="00955982" w:rsidRPr="002E02CA" w:rsidRDefault="00995C65" w:rsidP="002E02CA">
      <w:pPr>
        <w:pStyle w:val="ListParagraph"/>
        <w:numPr>
          <w:ilvl w:val="0"/>
          <w:numId w:val="11"/>
        </w:numPr>
        <w:ind w:left="426" w:hanging="426"/>
        <w:rPr>
          <w:rFonts w:ascii="Times New Roman" w:hAnsi="Times New Roman" w:cs="Times New Roman"/>
        </w:rPr>
      </w:pPr>
      <w:bookmarkStart w:id="9" w:name="_Ref54298530"/>
      <w:r w:rsidRPr="00995C65">
        <w:rPr>
          <w:rFonts w:ascii="Times New Roman" w:hAnsi="Times New Roman" w:cs="Times New Roman"/>
        </w:rPr>
        <w:t>3GPP TR 38.821, Solutions for NR to support non-terrestrial networks (NTN), V16.0.0.</w:t>
      </w:r>
      <w:bookmarkEnd w:id="9"/>
    </w:p>
    <w:p w14:paraId="3F7CCDC2" w14:textId="0A8711E9" w:rsidR="00320167" w:rsidRDefault="00320167" w:rsidP="00886DDA">
      <w:pPr>
        <w:pStyle w:val="ListParagraph"/>
        <w:numPr>
          <w:ilvl w:val="0"/>
          <w:numId w:val="11"/>
        </w:numPr>
        <w:ind w:left="426" w:hanging="426"/>
        <w:jc w:val="left"/>
        <w:rPr>
          <w:rFonts w:ascii="Times New Roman" w:hAnsi="Times New Roman" w:cs="Times New Roman"/>
        </w:rPr>
      </w:pPr>
      <w:bookmarkStart w:id="10" w:name="_Ref54301188"/>
      <w:bookmarkStart w:id="11" w:name="_Ref61920881"/>
      <w:r>
        <w:rPr>
          <w:rFonts w:ascii="Times New Roman" w:hAnsi="Times New Roman" w:cs="Times New Roman"/>
        </w:rPr>
        <w:t>“</w:t>
      </w:r>
      <w:r w:rsidR="002E02CA">
        <w:rPr>
          <w:rFonts w:ascii="Times New Roman" w:hAnsi="Times New Roman" w:cs="Times New Roman"/>
        </w:rPr>
        <w:t>Evaluation of LTE-M towards 5G IoT requirements</w:t>
      </w:r>
      <w:r w:rsidR="00D84DBF">
        <w:rPr>
          <w:rFonts w:ascii="Times New Roman" w:hAnsi="Times New Roman" w:cs="Times New Roman"/>
        </w:rPr>
        <w:t xml:space="preserve">”. Link: </w:t>
      </w:r>
      <w:bookmarkEnd w:id="10"/>
      <w:r w:rsidR="002E02CA" w:rsidRPr="002E02CA">
        <w:t>https://www.sierrawireless.com/resources/white-paper/evaluation-of-lte-m/</w:t>
      </w:r>
      <w:bookmarkEnd w:id="11"/>
    </w:p>
    <w:p w14:paraId="564D0E41" w14:textId="7AC6D95A" w:rsidR="005B6909" w:rsidRDefault="00704500" w:rsidP="00C6775C">
      <w:pPr>
        <w:pStyle w:val="ListParagraph"/>
        <w:numPr>
          <w:ilvl w:val="0"/>
          <w:numId w:val="11"/>
        </w:numPr>
        <w:ind w:left="426" w:hanging="426"/>
        <w:rPr>
          <w:rFonts w:ascii="Times New Roman" w:hAnsi="Times New Roman" w:cs="Times New Roman"/>
        </w:rPr>
      </w:pPr>
      <w:bookmarkStart w:id="12" w:name="_Ref61920094"/>
      <w:r>
        <w:rPr>
          <w:rFonts w:ascii="Times New Roman" w:hAnsi="Times New Roman" w:cs="Times New Roman"/>
        </w:rPr>
        <w:lastRenderedPageBreak/>
        <w:t>3GPP</w:t>
      </w:r>
      <w:r w:rsidR="005B6909">
        <w:rPr>
          <w:rFonts w:ascii="Times New Roman" w:hAnsi="Times New Roman" w:cs="Times New Roman"/>
        </w:rPr>
        <w:t>TR45.8</w:t>
      </w:r>
      <w:r w:rsidR="002A6C61">
        <w:rPr>
          <w:rFonts w:ascii="Times New Roman" w:hAnsi="Times New Roman" w:cs="Times New Roman"/>
        </w:rPr>
        <w:t xml:space="preserve">20. </w:t>
      </w:r>
      <w:r w:rsidR="00E437C2">
        <w:rPr>
          <w:rFonts w:ascii="Times New Roman" w:hAnsi="Times New Roman" w:cs="Times New Roman"/>
        </w:rPr>
        <w:t>“</w:t>
      </w:r>
      <w:r w:rsidR="00E437C2" w:rsidRPr="00E437C2">
        <w:rPr>
          <w:rFonts w:ascii="Times New Roman" w:hAnsi="Times New Roman" w:cs="Times New Roman"/>
        </w:rPr>
        <w:t xml:space="preserve">Cellular system support for ultra-low </w:t>
      </w:r>
      <w:r w:rsidR="00E437C2" w:rsidRPr="00704500">
        <w:rPr>
          <w:rFonts w:ascii="Times New Roman" w:hAnsi="Times New Roman" w:cs="Times New Roman"/>
        </w:rPr>
        <w:t>complexity and</w:t>
      </w:r>
      <w:r w:rsidR="00C6775C" w:rsidRPr="00704500">
        <w:rPr>
          <w:rFonts w:ascii="Times New Roman" w:hAnsi="Times New Roman" w:cs="Times New Roman"/>
        </w:rPr>
        <w:t xml:space="preserve"> </w:t>
      </w:r>
      <w:r w:rsidR="00E437C2" w:rsidRPr="00671FA9">
        <w:rPr>
          <w:rFonts w:ascii="Times New Roman" w:hAnsi="Times New Roman" w:cs="Times New Roman"/>
        </w:rPr>
        <w:t>low throughput Internet of Things (</w:t>
      </w:r>
      <w:proofErr w:type="spellStart"/>
      <w:r w:rsidR="00E437C2" w:rsidRPr="00671FA9">
        <w:rPr>
          <w:rFonts w:ascii="Times New Roman" w:hAnsi="Times New Roman" w:cs="Times New Roman"/>
        </w:rPr>
        <w:t>CIo</w:t>
      </w:r>
      <w:r w:rsidR="00C6775C" w:rsidRPr="00671FA9">
        <w:rPr>
          <w:rFonts w:ascii="Times New Roman" w:hAnsi="Times New Roman" w:cs="Times New Roman"/>
        </w:rPr>
        <w:t>T</w:t>
      </w:r>
      <w:proofErr w:type="spellEnd"/>
      <w:r w:rsidR="00C6775C" w:rsidRPr="00671FA9">
        <w:rPr>
          <w:rFonts w:ascii="Times New Roman" w:hAnsi="Times New Roman" w:cs="Times New Roman"/>
        </w:rPr>
        <w:t>)</w:t>
      </w:r>
      <w:r w:rsidR="00E437C2" w:rsidRPr="00671FA9">
        <w:rPr>
          <w:rFonts w:ascii="Times New Roman" w:hAnsi="Times New Roman" w:cs="Times New Roman"/>
        </w:rPr>
        <w:t>”</w:t>
      </w:r>
      <w:r>
        <w:rPr>
          <w:rFonts w:ascii="Times New Roman" w:hAnsi="Times New Roman" w:cs="Times New Roman"/>
        </w:rPr>
        <w:t>.</w:t>
      </w:r>
      <w:bookmarkEnd w:id="12"/>
    </w:p>
    <w:p w14:paraId="398D5D5D" w14:textId="2B8967CD" w:rsidR="002E02CA" w:rsidRDefault="00886DDA" w:rsidP="00C6775C">
      <w:pPr>
        <w:pStyle w:val="ListParagraph"/>
        <w:numPr>
          <w:ilvl w:val="0"/>
          <w:numId w:val="11"/>
        </w:numPr>
        <w:ind w:left="426" w:hanging="426"/>
        <w:rPr>
          <w:rFonts w:ascii="Times New Roman" w:hAnsi="Times New Roman" w:cs="Times New Roman"/>
        </w:rPr>
      </w:pPr>
      <w:bookmarkStart w:id="13" w:name="_Ref61920393"/>
      <w:r>
        <w:rPr>
          <w:rFonts w:ascii="Times New Roman" w:hAnsi="Times New Roman" w:cs="Times New Roman"/>
        </w:rPr>
        <w:t>R1-2100877. “HARQ issues for IoT-NTN”. Sony. RAN1#104e. January 2021.</w:t>
      </w:r>
      <w:bookmarkEnd w:id="13"/>
    </w:p>
    <w:p w14:paraId="515FEE8D" w14:textId="36F93961" w:rsidR="00F0354F" w:rsidRDefault="00F0354F" w:rsidP="00C6775C">
      <w:pPr>
        <w:pStyle w:val="ListParagraph"/>
        <w:numPr>
          <w:ilvl w:val="0"/>
          <w:numId w:val="11"/>
        </w:numPr>
        <w:ind w:left="426" w:hanging="426"/>
        <w:rPr>
          <w:rFonts w:ascii="Times New Roman" w:hAnsi="Times New Roman" w:cs="Times New Roman"/>
        </w:rPr>
      </w:pPr>
      <w:bookmarkStart w:id="14" w:name="_Ref61922116"/>
      <w:r>
        <w:rPr>
          <w:rFonts w:ascii="Times New Roman" w:hAnsi="Times New Roman" w:cs="Times New Roman"/>
        </w:rPr>
        <w:t>R1-2100876. “Timing relationship for IoT-NTN”. Sony. RAN1#104e. January 2021.</w:t>
      </w:r>
      <w:bookmarkEnd w:id="14"/>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524D3" w14:textId="77777777" w:rsidR="00772E9F" w:rsidRDefault="00772E9F">
      <w:r>
        <w:separator/>
      </w:r>
    </w:p>
  </w:endnote>
  <w:endnote w:type="continuationSeparator" w:id="0">
    <w:p w14:paraId="03CFCE9E" w14:textId="77777777" w:rsidR="00772E9F" w:rsidRDefault="00772E9F">
      <w:r>
        <w:continuationSeparator/>
      </w:r>
    </w:p>
  </w:endnote>
  <w:endnote w:type="continuationNotice" w:id="1">
    <w:p w14:paraId="782EE931" w14:textId="77777777" w:rsidR="00772E9F" w:rsidRDefault="00772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quot;&quot;Courier New&quot;&quot;,serif">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B212A" w14:textId="77777777" w:rsidR="00772E9F" w:rsidRDefault="00772E9F">
      <w:r>
        <w:separator/>
      </w:r>
    </w:p>
  </w:footnote>
  <w:footnote w:type="continuationSeparator" w:id="0">
    <w:p w14:paraId="422CBF3E" w14:textId="77777777" w:rsidR="00772E9F" w:rsidRDefault="00772E9F">
      <w:r>
        <w:continuationSeparator/>
      </w:r>
    </w:p>
  </w:footnote>
  <w:footnote w:type="continuationNotice" w:id="1">
    <w:p w14:paraId="3D185023" w14:textId="77777777" w:rsidR="00772E9F" w:rsidRDefault="00772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6"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0"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3"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8"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2"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5"/>
  </w:num>
  <w:num w:numId="4">
    <w:abstractNumId w:val="11"/>
  </w:num>
  <w:num w:numId="5">
    <w:abstractNumId w:val="44"/>
  </w:num>
  <w:num w:numId="6">
    <w:abstractNumId w:val="25"/>
  </w:num>
  <w:num w:numId="7">
    <w:abstractNumId w:val="34"/>
  </w:num>
  <w:num w:numId="8">
    <w:abstractNumId w:val="7"/>
  </w:num>
  <w:num w:numId="9">
    <w:abstractNumId w:val="32"/>
  </w:num>
  <w:num w:numId="10">
    <w:abstractNumId w:val="17"/>
  </w:num>
  <w:num w:numId="11">
    <w:abstractNumId w:val="3"/>
  </w:num>
  <w:num w:numId="12">
    <w:abstractNumId w:val="23"/>
  </w:num>
  <w:num w:numId="13">
    <w:abstractNumId w:val="2"/>
  </w:num>
  <w:num w:numId="14">
    <w:abstractNumId w:val="8"/>
  </w:num>
  <w:num w:numId="15">
    <w:abstractNumId w:val="35"/>
  </w:num>
  <w:num w:numId="16">
    <w:abstractNumId w:val="33"/>
  </w:num>
  <w:num w:numId="17">
    <w:abstractNumId w:val="18"/>
  </w:num>
  <w:num w:numId="18">
    <w:abstractNumId w:val="1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31"/>
  </w:num>
  <w:num w:numId="25">
    <w:abstractNumId w:val="39"/>
  </w:num>
  <w:num w:numId="26">
    <w:abstractNumId w:val="1"/>
  </w:num>
  <w:num w:numId="27">
    <w:abstractNumId w:val="1"/>
  </w:num>
  <w:num w:numId="28">
    <w:abstractNumId w:val="29"/>
  </w:num>
  <w:num w:numId="29">
    <w:abstractNumId w:val="30"/>
  </w:num>
  <w:num w:numId="30">
    <w:abstractNumId w:val="37"/>
  </w:num>
  <w:num w:numId="31">
    <w:abstractNumId w:val="40"/>
  </w:num>
  <w:num w:numId="32">
    <w:abstractNumId w:val="27"/>
  </w:num>
  <w:num w:numId="33">
    <w:abstractNumId w:val="9"/>
  </w:num>
  <w:num w:numId="34">
    <w:abstractNumId w:val="6"/>
  </w:num>
  <w:num w:numId="35">
    <w:abstractNumId w:val="46"/>
  </w:num>
  <w:num w:numId="36">
    <w:abstractNumId w:val="21"/>
  </w:num>
  <w:num w:numId="37">
    <w:abstractNumId w:val="36"/>
  </w:num>
  <w:num w:numId="38">
    <w:abstractNumId w:val="42"/>
  </w:num>
  <w:num w:numId="39">
    <w:abstractNumId w:val="12"/>
  </w:num>
  <w:num w:numId="40">
    <w:abstractNumId w:val="28"/>
  </w:num>
  <w:num w:numId="41">
    <w:abstractNumId w:val="22"/>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43"/>
  </w:num>
  <w:num w:numId="43">
    <w:abstractNumId w:val="0"/>
  </w:num>
  <w:num w:numId="44">
    <w:abstractNumId w:val="13"/>
  </w:num>
  <w:num w:numId="45">
    <w:abstractNumId w:val="24"/>
  </w:num>
  <w:num w:numId="46">
    <w:abstractNumId w:val="38"/>
  </w:num>
  <w:num w:numId="47">
    <w:abstractNumId w:val="14"/>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2CA"/>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884"/>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E9F"/>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6DDA"/>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1A1"/>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4F0C"/>
    <w:rsid w:val="00A8557B"/>
    <w:rsid w:val="00A85A05"/>
    <w:rsid w:val="00A863E8"/>
    <w:rsid w:val="00A8660F"/>
    <w:rsid w:val="00A866FC"/>
    <w:rsid w:val="00A86D63"/>
    <w:rsid w:val="00A87294"/>
    <w:rsid w:val="00A8762A"/>
    <w:rsid w:val="00A87797"/>
    <w:rsid w:val="00A903D5"/>
    <w:rsid w:val="00A90A50"/>
    <w:rsid w:val="00A90E4F"/>
    <w:rsid w:val="00A90E72"/>
    <w:rsid w:val="00A911A1"/>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32"/>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54F"/>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8DC577-69F5-4986-83F1-C7D77574F287}">
  <ds:schemaRefs>
    <ds:schemaRef ds:uri="http://schemas.openxmlformats.org/officeDocument/2006/bibliography"/>
  </ds:schemaRefs>
</ds:datastoreItem>
</file>

<file path=customXml/itemProps5.xml><?xml version="1.0" encoding="utf-8"?>
<ds:datastoreItem xmlns:ds="http://schemas.openxmlformats.org/officeDocument/2006/customXml" ds:itemID="{E095E477-4AB9-41AA-AD91-ACF631BC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5</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355</cp:revision>
  <cp:lastPrinted>2016-05-14T13:14:00Z</cp:lastPrinted>
  <dcterms:created xsi:type="dcterms:W3CDTF">2020-10-21T07:57:00Z</dcterms:created>
  <dcterms:modified xsi:type="dcterms:W3CDTF">2021-01-19T04:28:00Z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